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AAD7" w14:textId="283BD95E" w:rsidR="004A6AE0" w:rsidRPr="009628B1" w:rsidRDefault="004A6AE0" w:rsidP="00577866">
      <w:pPr>
        <w:pStyle w:val="Kopvaninhoudsopgave"/>
      </w:pPr>
      <w:r w:rsidRPr="009628B1">
        <w:t xml:space="preserve">Overeenkomst </w:t>
      </w:r>
      <w:r w:rsidR="00981789">
        <w:t>dagbehandeling en dagbesteding jeugd</w:t>
      </w:r>
      <w:r w:rsidRPr="009628B1">
        <w:t xml:space="preserve"> –</w:t>
      </w:r>
      <w:r w:rsidR="00BD6F62">
        <w:t xml:space="preserve"> specificaties </w:t>
      </w:r>
      <w:r w:rsidRPr="009628B1">
        <w:t xml:space="preserve">t.o.v. landelijke contractstandaarden </w:t>
      </w:r>
    </w:p>
    <w:p w14:paraId="3BFEBFE7" w14:textId="77777777" w:rsidR="004A6AE0" w:rsidRPr="009628B1" w:rsidRDefault="004A6AE0" w:rsidP="000E4E1A">
      <w:pPr>
        <w:pStyle w:val="Geenafstand"/>
      </w:pPr>
    </w:p>
    <w:p w14:paraId="547C2418" w14:textId="0EA11055" w:rsidR="00BD6F62" w:rsidRDefault="00A20803" w:rsidP="000E4E1A">
      <w:pPr>
        <w:pStyle w:val="Geenafstand"/>
      </w:pPr>
      <w:r w:rsidRPr="009628B1">
        <w:t xml:space="preserve">In het contract </w:t>
      </w:r>
      <w:r w:rsidR="00981789">
        <w:t xml:space="preserve">dagbesteding en dagbehandeling jeugd </w:t>
      </w:r>
      <w:r w:rsidRPr="009628B1">
        <w:t xml:space="preserve">zijn de landelijke contractstandaarden toegepast. Voorafgaand aan ondertekening van de overeenkomst heeft de Gemeente artikelen toegevoegd </w:t>
      </w:r>
      <w:r w:rsidR="00BD6F62">
        <w:t>en</w:t>
      </w:r>
      <w:r w:rsidRPr="009628B1">
        <w:t xml:space="preserve"> nader gespecificeerd. </w:t>
      </w:r>
      <w:r w:rsidR="00BD6F62">
        <w:t xml:space="preserve">Ook heeft zij een aantal artikelen ‘niet van toepassing’ verklaard. </w:t>
      </w:r>
    </w:p>
    <w:p w14:paraId="3B447467" w14:textId="77777777" w:rsidR="00BD6F62" w:rsidRDefault="00BD6F62" w:rsidP="000E4E1A">
      <w:pPr>
        <w:pStyle w:val="Geenafstand"/>
      </w:pPr>
    </w:p>
    <w:p w14:paraId="0C88C233" w14:textId="3981952B" w:rsidR="00A20803" w:rsidRPr="009628B1" w:rsidRDefault="00A20803" w:rsidP="000E4E1A">
      <w:pPr>
        <w:pStyle w:val="Geenafstand"/>
      </w:pPr>
      <w:r w:rsidRPr="009628B1">
        <w:t xml:space="preserve">De overeenkomst van dit contract verandert gedurende de looptijd door nieuwe releases van de landelijke contractstandaarden. In deze nieuwe releases zijn de </w:t>
      </w:r>
      <w:r w:rsidR="00BD6F62">
        <w:t xml:space="preserve">‘extra’ </w:t>
      </w:r>
      <w:r w:rsidRPr="009628B1">
        <w:t xml:space="preserve">artikelen en nadere definities van de Gemeente (vanzelfsprekend) niet langer zichtbaar. </w:t>
      </w:r>
    </w:p>
    <w:p w14:paraId="048571BE" w14:textId="77777777" w:rsidR="00A20803" w:rsidRPr="009628B1" w:rsidRDefault="00A20803" w:rsidP="000E4E1A">
      <w:pPr>
        <w:pStyle w:val="Geenafstand"/>
      </w:pPr>
    </w:p>
    <w:p w14:paraId="78B1485C" w14:textId="6657EE0B" w:rsidR="00A20803" w:rsidRDefault="00A20803" w:rsidP="00DD3EBB">
      <w:pPr>
        <w:pStyle w:val="Geenafstand"/>
      </w:pPr>
      <w:r w:rsidRPr="009628B1">
        <w:t xml:space="preserve">Om het risico te verminderen dat hierdoor fouten ontstaan in de uitvoering van de Overeenkomst door Partijen, heeft de Gemeente in dit document alle onderdelen van de overeenkomst </w:t>
      </w:r>
      <w:r w:rsidR="00DD3EBB" w:rsidRPr="009628B1">
        <w:t>die de Gemeente voorafgaand aan ondertekening heeft toegevoegd</w:t>
      </w:r>
      <w:r w:rsidR="00BD6F62">
        <w:t xml:space="preserve">, </w:t>
      </w:r>
      <w:r w:rsidR="00DD3EBB" w:rsidRPr="009628B1">
        <w:t>gedefinieerd</w:t>
      </w:r>
      <w:r w:rsidR="00BD6F62">
        <w:t xml:space="preserve"> of laten vervallen</w:t>
      </w:r>
      <w:r w:rsidR="00DD3EBB" w:rsidRPr="009628B1">
        <w:t xml:space="preserve">, hieronder opgesomd. </w:t>
      </w:r>
      <w:r w:rsidRPr="009628B1">
        <w:t xml:space="preserve">Op deze manier hebben Partijen met het hanteren van de actuele landelijke contractstandaarden en dit </w:t>
      </w:r>
      <w:r w:rsidR="00DD3EBB" w:rsidRPr="009628B1">
        <w:t>document</w:t>
      </w:r>
      <w:r w:rsidRPr="009628B1">
        <w:t>, altijd de actuele en volledige overeenkomst voor ogen.</w:t>
      </w:r>
    </w:p>
    <w:p w14:paraId="75202F28" w14:textId="77777777" w:rsidR="009628B1" w:rsidRDefault="009628B1" w:rsidP="00DD3EBB">
      <w:pPr>
        <w:pStyle w:val="Geenafstand"/>
      </w:pPr>
    </w:p>
    <w:sdt>
      <w:sdtPr>
        <w:rPr>
          <w:rFonts w:ascii="Source Sans Pro" w:eastAsiaTheme="minorHAnsi" w:hAnsi="Source Sans Pro" w:cstheme="minorBidi"/>
          <w:b w:val="0"/>
          <w:color w:val="auto"/>
          <w:sz w:val="19"/>
          <w:szCs w:val="19"/>
        </w:rPr>
        <w:id w:val="643083144"/>
        <w:docPartObj>
          <w:docPartGallery w:val="Table of Contents"/>
          <w:docPartUnique/>
        </w:docPartObj>
      </w:sdtPr>
      <w:sdtEndPr>
        <w:rPr>
          <w:bCs/>
        </w:rPr>
      </w:sdtEndPr>
      <w:sdtContent>
        <w:p w14:paraId="78677AEB" w14:textId="7DEA533D" w:rsidR="009628B1" w:rsidRDefault="009628B1">
          <w:pPr>
            <w:pStyle w:val="Kopvaninhoudsopgave"/>
          </w:pPr>
          <w:r>
            <w:t>Inhoud</w:t>
          </w:r>
        </w:p>
        <w:p w14:paraId="599AC54A" w14:textId="27247319" w:rsidR="0015387E" w:rsidRDefault="009628B1">
          <w:pPr>
            <w:pStyle w:val="Inhopg2"/>
            <w:tabs>
              <w:tab w:val="right" w:leader="dot" w:pos="9062"/>
            </w:tabs>
            <w:rPr>
              <w:rFonts w:asciiTheme="minorHAnsi" w:eastAsiaTheme="minorEastAsia" w:hAnsiTheme="minorHAnsi"/>
              <w:noProof/>
              <w:kern w:val="2"/>
              <w:sz w:val="22"/>
              <w:szCs w:val="22"/>
              <w:lang w:eastAsia="nl-NL"/>
              <w14:ligatures w14:val="standardContextual"/>
            </w:rPr>
          </w:pPr>
          <w:r>
            <w:fldChar w:fldCharType="begin"/>
          </w:r>
          <w:r>
            <w:instrText xml:space="preserve"> TOC \o "1-3" \h \z \u </w:instrText>
          </w:r>
          <w:r>
            <w:fldChar w:fldCharType="separate"/>
          </w:r>
          <w:hyperlink w:anchor="_Toc188451973" w:history="1">
            <w:r w:rsidR="0015387E" w:rsidRPr="0089331C">
              <w:rPr>
                <w:rStyle w:val="Hyperlink"/>
                <w:noProof/>
              </w:rPr>
              <w:t>Definitie ernstige beroepsfout</w:t>
            </w:r>
            <w:r w:rsidR="0015387E">
              <w:rPr>
                <w:noProof/>
                <w:webHidden/>
              </w:rPr>
              <w:tab/>
            </w:r>
            <w:r w:rsidR="0015387E">
              <w:rPr>
                <w:noProof/>
                <w:webHidden/>
              </w:rPr>
              <w:fldChar w:fldCharType="begin"/>
            </w:r>
            <w:r w:rsidR="0015387E">
              <w:rPr>
                <w:noProof/>
                <w:webHidden/>
              </w:rPr>
              <w:instrText xml:space="preserve"> PAGEREF _Toc188451973 \h </w:instrText>
            </w:r>
            <w:r w:rsidR="0015387E">
              <w:rPr>
                <w:noProof/>
                <w:webHidden/>
              </w:rPr>
            </w:r>
            <w:r w:rsidR="0015387E">
              <w:rPr>
                <w:noProof/>
                <w:webHidden/>
              </w:rPr>
              <w:fldChar w:fldCharType="separate"/>
            </w:r>
            <w:r w:rsidR="0015387E">
              <w:rPr>
                <w:noProof/>
                <w:webHidden/>
              </w:rPr>
              <w:t>1</w:t>
            </w:r>
            <w:r w:rsidR="0015387E">
              <w:rPr>
                <w:noProof/>
                <w:webHidden/>
              </w:rPr>
              <w:fldChar w:fldCharType="end"/>
            </w:r>
          </w:hyperlink>
        </w:p>
        <w:p w14:paraId="218F7D27" w14:textId="2DB92990"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4" w:history="1">
            <w:r w:rsidRPr="0089331C">
              <w:rPr>
                <w:rStyle w:val="Hyperlink"/>
                <w:noProof/>
              </w:rPr>
              <w:t>Definitie looptijd overeenkomst</w:t>
            </w:r>
            <w:r>
              <w:rPr>
                <w:noProof/>
                <w:webHidden/>
              </w:rPr>
              <w:tab/>
            </w:r>
            <w:r>
              <w:rPr>
                <w:noProof/>
                <w:webHidden/>
              </w:rPr>
              <w:fldChar w:fldCharType="begin"/>
            </w:r>
            <w:r>
              <w:rPr>
                <w:noProof/>
                <w:webHidden/>
              </w:rPr>
              <w:instrText xml:space="preserve"> PAGEREF _Toc188451974 \h </w:instrText>
            </w:r>
            <w:r>
              <w:rPr>
                <w:noProof/>
                <w:webHidden/>
              </w:rPr>
            </w:r>
            <w:r>
              <w:rPr>
                <w:noProof/>
                <w:webHidden/>
              </w:rPr>
              <w:fldChar w:fldCharType="separate"/>
            </w:r>
            <w:r>
              <w:rPr>
                <w:noProof/>
                <w:webHidden/>
              </w:rPr>
              <w:t>2</w:t>
            </w:r>
            <w:r>
              <w:rPr>
                <w:noProof/>
                <w:webHidden/>
              </w:rPr>
              <w:fldChar w:fldCharType="end"/>
            </w:r>
          </w:hyperlink>
        </w:p>
        <w:p w14:paraId="18C10FC5" w14:textId="553FF679"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5" w:history="1">
            <w:r w:rsidRPr="0089331C">
              <w:rPr>
                <w:rStyle w:val="Hyperlink"/>
                <w:noProof/>
              </w:rPr>
              <w:t>Definitie gecontracteerde producten</w:t>
            </w:r>
            <w:r>
              <w:rPr>
                <w:noProof/>
                <w:webHidden/>
              </w:rPr>
              <w:tab/>
            </w:r>
            <w:r>
              <w:rPr>
                <w:noProof/>
                <w:webHidden/>
              </w:rPr>
              <w:fldChar w:fldCharType="begin"/>
            </w:r>
            <w:r>
              <w:rPr>
                <w:noProof/>
                <w:webHidden/>
              </w:rPr>
              <w:instrText xml:space="preserve"> PAGEREF _Toc188451975 \h </w:instrText>
            </w:r>
            <w:r>
              <w:rPr>
                <w:noProof/>
                <w:webHidden/>
              </w:rPr>
            </w:r>
            <w:r>
              <w:rPr>
                <w:noProof/>
                <w:webHidden/>
              </w:rPr>
              <w:fldChar w:fldCharType="separate"/>
            </w:r>
            <w:r>
              <w:rPr>
                <w:noProof/>
                <w:webHidden/>
              </w:rPr>
              <w:t>2</w:t>
            </w:r>
            <w:r>
              <w:rPr>
                <w:noProof/>
                <w:webHidden/>
              </w:rPr>
              <w:fldChar w:fldCharType="end"/>
            </w:r>
          </w:hyperlink>
        </w:p>
        <w:p w14:paraId="4186C0CC" w14:textId="014DC5EF"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6" w:history="1">
            <w:r w:rsidRPr="0089331C">
              <w:rPr>
                <w:rStyle w:val="Hyperlink"/>
                <w:noProof/>
              </w:rPr>
              <w:t>Extra artikel maximeren instroom</w:t>
            </w:r>
            <w:r>
              <w:rPr>
                <w:noProof/>
                <w:webHidden/>
              </w:rPr>
              <w:tab/>
            </w:r>
            <w:r>
              <w:rPr>
                <w:noProof/>
                <w:webHidden/>
              </w:rPr>
              <w:fldChar w:fldCharType="begin"/>
            </w:r>
            <w:r>
              <w:rPr>
                <w:noProof/>
                <w:webHidden/>
              </w:rPr>
              <w:instrText xml:space="preserve"> PAGEREF _Toc188451976 \h </w:instrText>
            </w:r>
            <w:r>
              <w:rPr>
                <w:noProof/>
                <w:webHidden/>
              </w:rPr>
            </w:r>
            <w:r>
              <w:rPr>
                <w:noProof/>
                <w:webHidden/>
              </w:rPr>
              <w:fldChar w:fldCharType="separate"/>
            </w:r>
            <w:r>
              <w:rPr>
                <w:noProof/>
                <w:webHidden/>
              </w:rPr>
              <w:t>2</w:t>
            </w:r>
            <w:r>
              <w:rPr>
                <w:noProof/>
                <w:webHidden/>
              </w:rPr>
              <w:fldChar w:fldCharType="end"/>
            </w:r>
          </w:hyperlink>
        </w:p>
        <w:p w14:paraId="699F2FD8" w14:textId="4D3C0926"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7" w:history="1">
            <w:r w:rsidRPr="0089331C">
              <w:rPr>
                <w:rStyle w:val="Hyperlink"/>
                <w:noProof/>
              </w:rPr>
              <w:t>Extra artikel overgang naar nieuwe raamovereenkomst</w:t>
            </w:r>
            <w:r>
              <w:rPr>
                <w:noProof/>
                <w:webHidden/>
              </w:rPr>
              <w:tab/>
            </w:r>
            <w:r>
              <w:rPr>
                <w:noProof/>
                <w:webHidden/>
              </w:rPr>
              <w:fldChar w:fldCharType="begin"/>
            </w:r>
            <w:r>
              <w:rPr>
                <w:noProof/>
                <w:webHidden/>
              </w:rPr>
              <w:instrText xml:space="preserve"> PAGEREF _Toc188451977 \h </w:instrText>
            </w:r>
            <w:r>
              <w:rPr>
                <w:noProof/>
                <w:webHidden/>
              </w:rPr>
            </w:r>
            <w:r>
              <w:rPr>
                <w:noProof/>
                <w:webHidden/>
              </w:rPr>
              <w:fldChar w:fldCharType="separate"/>
            </w:r>
            <w:r>
              <w:rPr>
                <w:noProof/>
                <w:webHidden/>
              </w:rPr>
              <w:t>2</w:t>
            </w:r>
            <w:r>
              <w:rPr>
                <w:noProof/>
                <w:webHidden/>
              </w:rPr>
              <w:fldChar w:fldCharType="end"/>
            </w:r>
          </w:hyperlink>
        </w:p>
        <w:p w14:paraId="1AFB543A" w14:textId="483B0F95"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8" w:history="1">
            <w:r w:rsidRPr="0089331C">
              <w:rPr>
                <w:rStyle w:val="Hyperlink"/>
                <w:noProof/>
              </w:rPr>
              <w:t>Extra artikel Social Return</w:t>
            </w:r>
            <w:r>
              <w:rPr>
                <w:noProof/>
                <w:webHidden/>
              </w:rPr>
              <w:tab/>
            </w:r>
            <w:r>
              <w:rPr>
                <w:noProof/>
                <w:webHidden/>
              </w:rPr>
              <w:fldChar w:fldCharType="begin"/>
            </w:r>
            <w:r>
              <w:rPr>
                <w:noProof/>
                <w:webHidden/>
              </w:rPr>
              <w:instrText xml:space="preserve"> PAGEREF _Toc188451978 \h </w:instrText>
            </w:r>
            <w:r>
              <w:rPr>
                <w:noProof/>
                <w:webHidden/>
              </w:rPr>
            </w:r>
            <w:r>
              <w:rPr>
                <w:noProof/>
                <w:webHidden/>
              </w:rPr>
              <w:fldChar w:fldCharType="separate"/>
            </w:r>
            <w:r>
              <w:rPr>
                <w:noProof/>
                <w:webHidden/>
              </w:rPr>
              <w:t>3</w:t>
            </w:r>
            <w:r>
              <w:rPr>
                <w:noProof/>
                <w:webHidden/>
              </w:rPr>
              <w:fldChar w:fldCharType="end"/>
            </w:r>
          </w:hyperlink>
        </w:p>
        <w:p w14:paraId="36DAF7FB" w14:textId="7A2A479A"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79" w:history="1">
            <w:r w:rsidRPr="0089331C">
              <w:rPr>
                <w:rStyle w:val="Hyperlink"/>
                <w:rFonts w:eastAsia="Calibri"/>
                <w:noProof/>
              </w:rPr>
              <w:t>Specificatie artikel Herzieningsclausules</w:t>
            </w:r>
            <w:r>
              <w:rPr>
                <w:noProof/>
                <w:webHidden/>
              </w:rPr>
              <w:tab/>
            </w:r>
            <w:r>
              <w:rPr>
                <w:noProof/>
                <w:webHidden/>
              </w:rPr>
              <w:fldChar w:fldCharType="begin"/>
            </w:r>
            <w:r>
              <w:rPr>
                <w:noProof/>
                <w:webHidden/>
              </w:rPr>
              <w:instrText xml:space="preserve"> PAGEREF _Toc188451979 \h </w:instrText>
            </w:r>
            <w:r>
              <w:rPr>
                <w:noProof/>
                <w:webHidden/>
              </w:rPr>
            </w:r>
            <w:r>
              <w:rPr>
                <w:noProof/>
                <w:webHidden/>
              </w:rPr>
              <w:fldChar w:fldCharType="separate"/>
            </w:r>
            <w:r>
              <w:rPr>
                <w:noProof/>
                <w:webHidden/>
              </w:rPr>
              <w:t>3</w:t>
            </w:r>
            <w:r>
              <w:rPr>
                <w:noProof/>
                <w:webHidden/>
              </w:rPr>
              <w:fldChar w:fldCharType="end"/>
            </w:r>
          </w:hyperlink>
        </w:p>
        <w:p w14:paraId="096839E5" w14:textId="503E9A9D" w:rsidR="0015387E" w:rsidRDefault="0015387E">
          <w:pPr>
            <w:pStyle w:val="Inhopg2"/>
            <w:tabs>
              <w:tab w:val="right" w:leader="dot" w:pos="9062"/>
            </w:tabs>
            <w:rPr>
              <w:rFonts w:asciiTheme="minorHAnsi" w:eastAsiaTheme="minorEastAsia" w:hAnsiTheme="minorHAnsi"/>
              <w:noProof/>
              <w:kern w:val="2"/>
              <w:sz w:val="22"/>
              <w:szCs w:val="22"/>
              <w:lang w:eastAsia="nl-NL"/>
              <w14:ligatures w14:val="standardContextual"/>
            </w:rPr>
          </w:pPr>
          <w:hyperlink w:anchor="_Toc188451980" w:history="1">
            <w:r w:rsidRPr="0089331C">
              <w:rPr>
                <w:rStyle w:val="Hyperlink"/>
                <w:noProof/>
              </w:rPr>
              <w:t>Vervallen artikel</w:t>
            </w:r>
            <w:r>
              <w:rPr>
                <w:noProof/>
                <w:webHidden/>
              </w:rPr>
              <w:tab/>
            </w:r>
            <w:r>
              <w:rPr>
                <w:noProof/>
                <w:webHidden/>
              </w:rPr>
              <w:fldChar w:fldCharType="begin"/>
            </w:r>
            <w:r>
              <w:rPr>
                <w:noProof/>
                <w:webHidden/>
              </w:rPr>
              <w:instrText xml:space="preserve"> PAGEREF _Toc188451980 \h </w:instrText>
            </w:r>
            <w:r>
              <w:rPr>
                <w:noProof/>
                <w:webHidden/>
              </w:rPr>
            </w:r>
            <w:r>
              <w:rPr>
                <w:noProof/>
                <w:webHidden/>
              </w:rPr>
              <w:fldChar w:fldCharType="separate"/>
            </w:r>
            <w:r>
              <w:rPr>
                <w:noProof/>
                <w:webHidden/>
              </w:rPr>
              <w:t>3</w:t>
            </w:r>
            <w:r>
              <w:rPr>
                <w:noProof/>
                <w:webHidden/>
              </w:rPr>
              <w:fldChar w:fldCharType="end"/>
            </w:r>
          </w:hyperlink>
        </w:p>
        <w:p w14:paraId="339740CF" w14:textId="7E81B445" w:rsidR="00A173D1" w:rsidRPr="009628B1" w:rsidRDefault="009628B1" w:rsidP="0015387E">
          <w:r>
            <w:rPr>
              <w:b/>
              <w:bCs/>
            </w:rPr>
            <w:fldChar w:fldCharType="end"/>
          </w:r>
        </w:p>
      </w:sdtContent>
    </w:sdt>
    <w:p w14:paraId="2BBE8F17" w14:textId="77777777" w:rsidR="00A20803" w:rsidRPr="009628B1" w:rsidRDefault="00A20803" w:rsidP="000E4E1A">
      <w:pPr>
        <w:pStyle w:val="Geenafstand"/>
      </w:pPr>
    </w:p>
    <w:p w14:paraId="44056E84" w14:textId="428666D0" w:rsidR="00DD3EBB" w:rsidRPr="009628B1" w:rsidRDefault="00DD3EBB" w:rsidP="009628B1">
      <w:pPr>
        <w:pStyle w:val="Kop2"/>
      </w:pPr>
      <w:bookmarkStart w:id="0" w:name="_Toc188451973"/>
      <w:r w:rsidRPr="009628B1">
        <w:t>Definitie</w:t>
      </w:r>
      <w:r w:rsidR="009628B1" w:rsidRPr="009628B1">
        <w:t xml:space="preserve"> ernstige beroepsfout</w:t>
      </w:r>
      <w:bookmarkEnd w:id="0"/>
    </w:p>
    <w:p w14:paraId="34204F15" w14:textId="20091038" w:rsidR="00DD3EBB" w:rsidRPr="009628B1" w:rsidRDefault="00DD3EBB" w:rsidP="000E4E1A">
      <w:pPr>
        <w:pStyle w:val="Geenafstand"/>
      </w:pPr>
      <w:r w:rsidRPr="009628B1">
        <w:t xml:space="preserve">In de overeenkomst is het begrip ‘ernstige beroepsfout’ aanvullend, en als volgt, gedefinieerd:  </w:t>
      </w:r>
    </w:p>
    <w:p w14:paraId="4EA698FF" w14:textId="77777777" w:rsidR="00DD3EBB" w:rsidRPr="009628B1" w:rsidRDefault="00DD3EBB" w:rsidP="000E4E1A">
      <w:pPr>
        <w:pStyle w:val="Geenafstand"/>
      </w:pPr>
    </w:p>
    <w:p w14:paraId="5E6A1A98" w14:textId="77777777" w:rsidR="00981789" w:rsidRDefault="00981789" w:rsidP="00DD3EBB">
      <w:pPr>
        <w:pStyle w:val="Geenafstand"/>
      </w:pPr>
      <w:r>
        <w:t xml:space="preserve">Ernstige beroepsfout: </w:t>
      </w:r>
    </w:p>
    <w:p w14:paraId="188597B3" w14:textId="77777777" w:rsidR="00981789" w:rsidRDefault="00981789" w:rsidP="00981789">
      <w:pPr>
        <w:pStyle w:val="Geenafstand"/>
        <w:numPr>
          <w:ilvl w:val="0"/>
          <w:numId w:val="19"/>
        </w:numPr>
      </w:pPr>
      <w:r>
        <w:t xml:space="preserve">kwade opzet of nalatigheid van een zekere ernst met betrekking tot het: </w:t>
      </w:r>
    </w:p>
    <w:p w14:paraId="09DF35BE" w14:textId="77777777" w:rsidR="00981789" w:rsidRDefault="00981789" w:rsidP="00981789">
      <w:pPr>
        <w:pStyle w:val="Geenafstand"/>
        <w:numPr>
          <w:ilvl w:val="1"/>
          <w:numId w:val="19"/>
        </w:numPr>
      </w:pPr>
      <w:r>
        <w:t xml:space="preserve">doen van een gift of belofte of het aanbieden van een dienst, indien redelijkerwijs kan worden aangenomen dat daarmee wordt beoogd iemand iets te laten doen wat in strijd is met zijn plicht; </w:t>
      </w:r>
    </w:p>
    <w:p w14:paraId="475F96AF" w14:textId="77777777" w:rsidR="00981789" w:rsidRDefault="00981789" w:rsidP="00981789">
      <w:pPr>
        <w:pStyle w:val="Geenafstand"/>
        <w:numPr>
          <w:ilvl w:val="1"/>
          <w:numId w:val="19"/>
        </w:numPr>
      </w:pPr>
      <w:r>
        <w:t xml:space="preserve">vervalsen of valselijk opmaken van een geschrift dat bestemd is om tot bewijs van enig feit te dienen; </w:t>
      </w:r>
    </w:p>
    <w:p w14:paraId="377D52C0" w14:textId="77777777" w:rsidR="00981789" w:rsidRDefault="00981789" w:rsidP="00981789">
      <w:pPr>
        <w:pStyle w:val="Geenafstand"/>
        <w:numPr>
          <w:ilvl w:val="1"/>
          <w:numId w:val="19"/>
        </w:numPr>
      </w:pPr>
      <w:r>
        <w:t xml:space="preserve">verstrekken van onjuiste gegevens of het ten onrechte niet verstrekken van juiste gegevens, indien redelijkerwijs kan worden aangenomen dat daarmee wordt beoogd financieel voordeel te behalen; </w:t>
      </w:r>
    </w:p>
    <w:p w14:paraId="7BA1C65E" w14:textId="77777777" w:rsidR="00981789" w:rsidRDefault="00981789" w:rsidP="00981789">
      <w:pPr>
        <w:pStyle w:val="Geenafstand"/>
        <w:numPr>
          <w:ilvl w:val="1"/>
          <w:numId w:val="19"/>
        </w:numPr>
      </w:pPr>
      <w:r>
        <w:lastRenderedPageBreak/>
        <w:t>handelen of nalaten te handelen waardoor de integriteit van werknemers of andere personen ernstig in gevaar wordt gebracht, waaronder begrepen (</w:t>
      </w:r>
      <w:proofErr w:type="spellStart"/>
      <w:r>
        <w:t>arbeids</w:t>
      </w:r>
      <w:proofErr w:type="spellEnd"/>
      <w:r>
        <w:t xml:space="preserve">)discriminatie; </w:t>
      </w:r>
    </w:p>
    <w:p w14:paraId="667F7356" w14:textId="77777777" w:rsidR="00981789" w:rsidRDefault="00981789" w:rsidP="00981789">
      <w:pPr>
        <w:pStyle w:val="Geenafstand"/>
        <w:numPr>
          <w:ilvl w:val="1"/>
          <w:numId w:val="19"/>
        </w:numPr>
      </w:pPr>
      <w:r>
        <w:t xml:space="preserve">direct of indirect gebruikmaken van in de Europese Unie verboden vormen van kinderarbeid; </w:t>
      </w:r>
    </w:p>
    <w:p w14:paraId="00E647B5" w14:textId="77777777" w:rsidR="00981789" w:rsidRDefault="00981789" w:rsidP="00981789">
      <w:pPr>
        <w:pStyle w:val="Geenafstand"/>
        <w:numPr>
          <w:ilvl w:val="1"/>
          <w:numId w:val="19"/>
        </w:numPr>
      </w:pPr>
      <w:r>
        <w:t xml:space="preserve">begaan van overtredingen op het gebied van milieuwetgeving; </w:t>
      </w:r>
    </w:p>
    <w:p w14:paraId="2B81778E" w14:textId="77777777" w:rsidR="00981789" w:rsidRDefault="00981789" w:rsidP="00981789">
      <w:pPr>
        <w:pStyle w:val="Geenafstand"/>
        <w:numPr>
          <w:ilvl w:val="1"/>
          <w:numId w:val="19"/>
        </w:numPr>
      </w:pPr>
      <w:r>
        <w:t xml:space="preserve">handelen in strijd met door de daartoe bevoegde autoriteit vastgestelde import-, export-, aankoop-, vervoers- en/of investeringsverboden; Overeenkomst Jeugdhulp – sas procedure (zonder en met </w:t>
      </w:r>
      <w:proofErr w:type="spellStart"/>
      <w:r>
        <w:t>emvi</w:t>
      </w:r>
      <w:proofErr w:type="spellEnd"/>
      <w:r>
        <w:t xml:space="preserve">) versie 1.0 10 / 35 </w:t>
      </w:r>
    </w:p>
    <w:p w14:paraId="5672CB4E" w14:textId="77777777" w:rsidR="00981789" w:rsidRDefault="00981789" w:rsidP="00981789">
      <w:pPr>
        <w:pStyle w:val="Geenafstand"/>
        <w:numPr>
          <w:ilvl w:val="1"/>
          <w:numId w:val="19"/>
        </w:numPr>
      </w:pPr>
      <w:r>
        <w:t xml:space="preserve">maken van afspraken met andere Opdrachtnemers of het begaan van feitelijke gedragingen die ertoe strekken of ten gevolge hebben dat mededinging verhinderd, beperkt of vervalst wordt of het anderszins handelen in strijd met mededingingsregelgeving; </w:t>
      </w:r>
    </w:p>
    <w:p w14:paraId="232DB66C" w14:textId="77777777" w:rsidR="00981789" w:rsidRDefault="00981789" w:rsidP="00981789">
      <w:pPr>
        <w:pStyle w:val="Geenafstand"/>
        <w:numPr>
          <w:ilvl w:val="1"/>
          <w:numId w:val="19"/>
        </w:numPr>
      </w:pPr>
      <w:r>
        <w:t xml:space="preserve">onrechtmatig handelen of tekortkomen in de nakoming van de overeenkomst waaruit ernstige schade voortvloeit, als gevolg van grove nalatigheid, opzet of bewuste roekeloosheid; </w:t>
      </w:r>
    </w:p>
    <w:p w14:paraId="53A9D17E" w14:textId="77777777" w:rsidR="00981789" w:rsidRDefault="00981789" w:rsidP="00981789">
      <w:pPr>
        <w:pStyle w:val="Geenafstand"/>
        <w:numPr>
          <w:ilvl w:val="1"/>
          <w:numId w:val="19"/>
        </w:numPr>
      </w:pPr>
      <w:r>
        <w:t>het begaan van gedragingen in strijd met specifiek voor het beroep of bedrijf van een Inschrijver relevante wet- en regelgeving, tuchtregels, toezichtregels, gedragsregels of gedragscodes;</w:t>
      </w:r>
    </w:p>
    <w:p w14:paraId="2CFF4B70" w14:textId="77777777" w:rsidR="00981789" w:rsidRDefault="00981789" w:rsidP="00981789">
      <w:pPr>
        <w:pStyle w:val="Geenafstand"/>
        <w:numPr>
          <w:ilvl w:val="1"/>
          <w:numId w:val="19"/>
        </w:numPr>
      </w:pPr>
      <w:r>
        <w:t xml:space="preserve">het verrichten van werkzaamheden die in strijd zijn met de openbare orde; </w:t>
      </w:r>
    </w:p>
    <w:p w14:paraId="5B2CE64F" w14:textId="77777777" w:rsidR="00981789" w:rsidRDefault="00981789" w:rsidP="00981789">
      <w:pPr>
        <w:pStyle w:val="Geenafstand"/>
        <w:numPr>
          <w:ilvl w:val="1"/>
          <w:numId w:val="19"/>
        </w:numPr>
      </w:pPr>
      <w:r>
        <w:t xml:space="preserve">alle andere delicten en gedragingen of omstandigheden die naar hun aard zijn aan te merken als ernstige fout in de uitoefening van het beroep’. </w:t>
      </w:r>
    </w:p>
    <w:p w14:paraId="10D022A1" w14:textId="648C4C8C" w:rsidR="00981789" w:rsidRDefault="00981789" w:rsidP="00981789">
      <w:pPr>
        <w:pStyle w:val="Geenafstand"/>
        <w:numPr>
          <w:ilvl w:val="0"/>
          <w:numId w:val="19"/>
        </w:numPr>
      </w:pPr>
      <w:r>
        <w:t>een ernstig gevaar dat de op grond van deze Aanbesteding gesloten overeenkomst door de Inschrijver mede zal worden gebruikt om (i) uit gepleegde strafbare feiten verkregen of te verkrijgen, op geld waardeerbare voordelen te benutten, of (ii) strafbare feiten te plege</w:t>
      </w:r>
      <w:r>
        <w:t>n</w:t>
      </w:r>
    </w:p>
    <w:p w14:paraId="045511F0" w14:textId="5A9CA4DD" w:rsidR="00DD3EBB" w:rsidRPr="009628B1" w:rsidRDefault="009628B1" w:rsidP="009628B1">
      <w:pPr>
        <w:pStyle w:val="Kop2"/>
      </w:pPr>
      <w:r>
        <w:br/>
      </w:r>
      <w:bookmarkStart w:id="1" w:name="_Toc188451974"/>
      <w:r>
        <w:t>Definitie l</w:t>
      </w:r>
      <w:r w:rsidR="00DD3EBB" w:rsidRPr="009628B1">
        <w:t>ooptijd overeenkomst</w:t>
      </w:r>
      <w:bookmarkEnd w:id="1"/>
    </w:p>
    <w:p w14:paraId="0865FC94" w14:textId="69F7E5DE" w:rsidR="00DD3EBB" w:rsidRPr="009628B1" w:rsidRDefault="00DD3EBB" w:rsidP="00DD3EBB">
      <w:pPr>
        <w:pStyle w:val="Geenafstand"/>
      </w:pPr>
      <w:r w:rsidRPr="009628B1">
        <w:t>Initiële looptijd 1-1-202</w:t>
      </w:r>
      <w:r w:rsidR="00981789">
        <w:t>4</w:t>
      </w:r>
      <w:r w:rsidRPr="009628B1">
        <w:t xml:space="preserve"> en loopt tot 31-12-2028. </w:t>
      </w:r>
    </w:p>
    <w:p w14:paraId="4B97806C" w14:textId="6B24253D" w:rsidR="00DD3EBB" w:rsidRDefault="00DD3EBB" w:rsidP="00DD3EBB">
      <w:pPr>
        <w:pStyle w:val="Geenafstand"/>
      </w:pPr>
      <w:r w:rsidRPr="009628B1">
        <w:t xml:space="preserve">Verlengingsmogelijkheden: </w:t>
      </w:r>
      <w:r w:rsidR="00981789">
        <w:t>2</w:t>
      </w:r>
      <w:r w:rsidRPr="009628B1">
        <w:t xml:space="preserve"> maal 36 kalendermaanden. </w:t>
      </w:r>
    </w:p>
    <w:p w14:paraId="08DEB7BD" w14:textId="77777777" w:rsidR="00153071" w:rsidRDefault="00153071" w:rsidP="00DD3EBB">
      <w:pPr>
        <w:pStyle w:val="Geenafstand"/>
      </w:pPr>
    </w:p>
    <w:p w14:paraId="7E5FBBAA" w14:textId="72EEEB52" w:rsidR="00153071" w:rsidRDefault="00153071" w:rsidP="00153071">
      <w:pPr>
        <w:pStyle w:val="Kop2"/>
      </w:pPr>
      <w:bookmarkStart w:id="2" w:name="_Toc188451975"/>
      <w:r>
        <w:t>Definitie gecontracteerde producten</w:t>
      </w:r>
      <w:bookmarkEnd w:id="2"/>
      <w:r>
        <w:t xml:space="preserve"> </w:t>
      </w:r>
    </w:p>
    <w:p w14:paraId="26E9D114" w14:textId="3A9A9846" w:rsidR="00153071" w:rsidRDefault="00153071" w:rsidP="00DD3EBB">
      <w:pPr>
        <w:pStyle w:val="Geenafstand"/>
      </w:pPr>
      <w:r>
        <w:t xml:space="preserve">Per aanbieder zijn de gecontracteerde producten nader gedefinieerd. Deze zijn opgenomen in de originele ondertekende overeenkomst. </w:t>
      </w:r>
    </w:p>
    <w:p w14:paraId="63AEC537" w14:textId="77777777" w:rsidR="00153071" w:rsidRPr="009628B1" w:rsidRDefault="00153071" w:rsidP="00DD3EBB">
      <w:pPr>
        <w:pStyle w:val="Geenafstand"/>
      </w:pPr>
    </w:p>
    <w:p w14:paraId="5D40FD09" w14:textId="566C7CDD" w:rsidR="00DD3EBB" w:rsidRPr="009628B1" w:rsidRDefault="00DD3EBB" w:rsidP="00DD3EBB">
      <w:pPr>
        <w:pStyle w:val="Geenafstand"/>
      </w:pPr>
    </w:p>
    <w:p w14:paraId="7BB6C4D5" w14:textId="0AD5DBA0" w:rsidR="00DD3EBB" w:rsidRPr="009628B1" w:rsidRDefault="009628B1" w:rsidP="009628B1">
      <w:pPr>
        <w:pStyle w:val="Kop2"/>
      </w:pPr>
      <w:bookmarkStart w:id="3" w:name="_Toc188451976"/>
      <w:r>
        <w:t xml:space="preserve">Extra artikel </w:t>
      </w:r>
      <w:r w:rsidR="005615C1">
        <w:t>maximeren instroom</w:t>
      </w:r>
      <w:bookmarkEnd w:id="3"/>
    </w:p>
    <w:p w14:paraId="09612C71" w14:textId="77777777" w:rsidR="009628B1" w:rsidRPr="009628B1" w:rsidRDefault="009628B1" w:rsidP="000E4E1A">
      <w:pPr>
        <w:pStyle w:val="Geenafstand"/>
      </w:pPr>
    </w:p>
    <w:p w14:paraId="76F9E15D" w14:textId="308547C5" w:rsidR="005615C1" w:rsidRPr="005615C1" w:rsidRDefault="005615C1" w:rsidP="005615C1">
      <w:pPr>
        <w:pStyle w:val="Geenafstand"/>
        <w:rPr>
          <w:b/>
          <w:bCs/>
        </w:rPr>
      </w:pPr>
      <w:bookmarkStart w:id="4" w:name="_Toc178326089"/>
      <w:r w:rsidRPr="005615C1">
        <w:rPr>
          <w:b/>
          <w:bCs/>
        </w:rPr>
        <w:t xml:space="preserve">Deel 1, </w:t>
      </w:r>
      <w:r w:rsidR="009628B1" w:rsidRPr="005615C1">
        <w:rPr>
          <w:b/>
          <w:bCs/>
        </w:rPr>
        <w:t>Art</w:t>
      </w:r>
      <w:r>
        <w:rPr>
          <w:b/>
          <w:bCs/>
        </w:rPr>
        <w:t xml:space="preserve">ikel </w:t>
      </w:r>
      <w:r w:rsidR="009628B1" w:rsidRPr="005615C1">
        <w:rPr>
          <w:b/>
          <w:bCs/>
        </w:rPr>
        <w:t xml:space="preserve">J </w:t>
      </w:r>
      <w:bookmarkEnd w:id="4"/>
      <w:r w:rsidRPr="005615C1">
        <w:rPr>
          <w:b/>
          <w:bCs/>
        </w:rPr>
        <w:t xml:space="preserve">Mogelijkheid tot maximering van de instroom </w:t>
      </w:r>
    </w:p>
    <w:p w14:paraId="2B3747B2" w14:textId="28D46380" w:rsidR="005615C1" w:rsidRPr="005615C1" w:rsidRDefault="005615C1" w:rsidP="005615C1">
      <w:pPr>
        <w:pStyle w:val="Geenafstand"/>
        <w:rPr>
          <w:b/>
          <w:bCs/>
        </w:rPr>
      </w:pPr>
      <w:r>
        <w:t>Voor alle percelen geldt dat de regio (en individuele gemeenten) behoudt zich het recht voor om de instroom ieder jaar (per aanbieder) te maximeren op een specifiek aantal cliënten per aanbieder. De regio ziet dit als een van de voorwaarde om zijn doelstellingen te realiseren conform zijn uitgangspunten. Dit betekent dat de aanbieder kritisch dient te bekijken welk kind wel en welk kind niet wordt toegelaten tot een voorziening. We zien de mogelijkheid tot maximeren van de instroom als een onderdeel in een groter stelsel van op elkaar inwerkende krachten. Van opdracht (door gemeente aan buurtteams en verwijzers) via afwegingskader (door gemeente) naar afwijzing dan wel toewijzing (door buurtteams) en aan het eind levering van diensten (door zorgaanbieders). Een maximering van de instroom zal dan ook te allen tijde worden onderbouwd door de regio of individuele gemeente. De onderbouwing bevat een analyse van de ontwikkelingen in het relevante netwerk.</w:t>
      </w:r>
    </w:p>
    <w:p w14:paraId="407401DF" w14:textId="77777777" w:rsidR="009628B1" w:rsidRPr="009628B1" w:rsidRDefault="009628B1" w:rsidP="009628B1">
      <w:pPr>
        <w:tabs>
          <w:tab w:val="left" w:pos="2268"/>
        </w:tabs>
        <w:spacing w:after="0" w:line="280" w:lineRule="atLeast"/>
        <w:rPr>
          <w:rFonts w:eastAsia="Calibri" w:cs="Times New Roman"/>
        </w:rPr>
      </w:pPr>
    </w:p>
    <w:p w14:paraId="4BECBDDA" w14:textId="4AAD49B6" w:rsidR="005615C1" w:rsidRDefault="005615C1" w:rsidP="005615C1">
      <w:pPr>
        <w:pStyle w:val="Kop2"/>
      </w:pPr>
      <w:bookmarkStart w:id="5" w:name="_Toc188451977"/>
      <w:r>
        <w:t xml:space="preserve">Extra artikel </w:t>
      </w:r>
      <w:r>
        <w:t>overgang naar nieuwe raamovereenkomst</w:t>
      </w:r>
      <w:bookmarkEnd w:id="5"/>
    </w:p>
    <w:p w14:paraId="736972A9" w14:textId="77777777" w:rsidR="005615C1" w:rsidRDefault="005615C1" w:rsidP="00BD6F62">
      <w:pPr>
        <w:tabs>
          <w:tab w:val="left" w:pos="2268"/>
        </w:tabs>
        <w:spacing w:after="0" w:line="280" w:lineRule="atLeast"/>
      </w:pPr>
    </w:p>
    <w:p w14:paraId="6CB83CCA" w14:textId="41513288" w:rsidR="005615C1" w:rsidRPr="005615C1" w:rsidRDefault="005615C1" w:rsidP="00BD6F62">
      <w:pPr>
        <w:tabs>
          <w:tab w:val="left" w:pos="2268"/>
        </w:tabs>
        <w:spacing w:after="0" w:line="280" w:lineRule="atLeast"/>
        <w:rPr>
          <w:b/>
          <w:bCs/>
        </w:rPr>
      </w:pPr>
      <w:r w:rsidRPr="005615C1">
        <w:rPr>
          <w:b/>
          <w:bCs/>
        </w:rPr>
        <w:t xml:space="preserve">Deel 1, </w:t>
      </w:r>
      <w:r w:rsidRPr="005615C1">
        <w:rPr>
          <w:b/>
          <w:bCs/>
        </w:rPr>
        <w:t xml:space="preserve">Artikel K Overgang naar nieuwe raamovereenkomst </w:t>
      </w:r>
    </w:p>
    <w:p w14:paraId="6A2786ED" w14:textId="0EA50B89" w:rsidR="009628B1" w:rsidRDefault="005615C1" w:rsidP="005615C1">
      <w:pPr>
        <w:pStyle w:val="Geenafstand"/>
      </w:pPr>
      <w:r>
        <w:t xml:space="preserve">Opdrachtnemers die de Opdracht gegund krijgen en reeds een Raamovereenkomst hadden met Opdrachtnemer voor 1 januari 2024 ronden lopende trajecten af tegen de Overeenkomst Jeugdhulp – sas procedure (zonder en met </w:t>
      </w:r>
      <w:proofErr w:type="spellStart"/>
      <w:r>
        <w:t>emvi</w:t>
      </w:r>
      <w:proofErr w:type="spellEnd"/>
      <w:r>
        <w:t xml:space="preserve">) versie 1.0 15 / 35 voor 1 januari 2024 bestaande tarieven, tenzij de tarieven van deze aanbestedingsprocedure hoger zijn. In dat laatste geval gelden de hoogste tarieven. Opdrachtnemers die de Opdracht niet gegund krijgen en reeds een Raamovereenkomst hadden met Opdrachtnemer voor 1 januari 2024 ronden lopende trajecten af tegen de voor 1 januari 2024 bestaande </w:t>
      </w:r>
      <w:proofErr w:type="spellStart"/>
      <w:r>
        <w:t>geindexeerde</w:t>
      </w:r>
      <w:proofErr w:type="spellEnd"/>
      <w:r>
        <w:t xml:space="preserve"> tarieven. Voor deze groep Opdrachtnemers geldt dat er geen nieuwe instroom van Cliënten plaatsvindt na 1 januari 2024. Opdrachtnemers </w:t>
      </w:r>
      <w:r>
        <w:lastRenderedPageBreak/>
        <w:t xml:space="preserve">die de Opdracht gegund krijgen zijn verplicht om de huidige </w:t>
      </w:r>
      <w:proofErr w:type="spellStart"/>
      <w:r>
        <w:t>clienten</w:t>
      </w:r>
      <w:proofErr w:type="spellEnd"/>
      <w:r>
        <w:t xml:space="preserve"> van Opdrachtnemers die de Opdracht niet gegund krijgen over te nemen.</w:t>
      </w:r>
    </w:p>
    <w:p w14:paraId="302CE455" w14:textId="77777777" w:rsidR="005615C1" w:rsidRDefault="005615C1" w:rsidP="005615C1">
      <w:pPr>
        <w:pStyle w:val="Geenafstand"/>
      </w:pPr>
    </w:p>
    <w:p w14:paraId="53E05FCA" w14:textId="24182679" w:rsidR="005615C1" w:rsidRDefault="005615C1" w:rsidP="005615C1">
      <w:pPr>
        <w:pStyle w:val="Kop2"/>
      </w:pPr>
      <w:bookmarkStart w:id="6" w:name="_Toc188451978"/>
      <w:r>
        <w:t xml:space="preserve">Extra artikel </w:t>
      </w:r>
      <w:proofErr w:type="spellStart"/>
      <w:r>
        <w:t>Social</w:t>
      </w:r>
      <w:proofErr w:type="spellEnd"/>
      <w:r>
        <w:t xml:space="preserve"> Return</w:t>
      </w:r>
      <w:bookmarkEnd w:id="6"/>
    </w:p>
    <w:p w14:paraId="10265745" w14:textId="77777777" w:rsidR="005615C1" w:rsidRDefault="005615C1" w:rsidP="005615C1">
      <w:pPr>
        <w:pStyle w:val="Geenafstand"/>
      </w:pPr>
    </w:p>
    <w:p w14:paraId="46961189" w14:textId="0FFC0AF8" w:rsidR="005615C1" w:rsidRPr="005615C1" w:rsidRDefault="005615C1" w:rsidP="005615C1">
      <w:pPr>
        <w:pStyle w:val="Geenafstand"/>
      </w:pPr>
      <w:r w:rsidRPr="005615C1">
        <w:rPr>
          <w:b/>
          <w:bCs/>
        </w:rPr>
        <w:t xml:space="preserve">Deel 2, </w:t>
      </w:r>
      <w:r w:rsidRPr="005615C1">
        <w:rPr>
          <w:b/>
          <w:bCs/>
        </w:rPr>
        <w:t xml:space="preserve">Artikel D </w:t>
      </w:r>
      <w:proofErr w:type="spellStart"/>
      <w:r w:rsidRPr="005615C1">
        <w:rPr>
          <w:b/>
          <w:bCs/>
        </w:rPr>
        <w:t>Social</w:t>
      </w:r>
      <w:proofErr w:type="spellEnd"/>
      <w:r w:rsidRPr="005615C1">
        <w:rPr>
          <w:b/>
          <w:bCs/>
        </w:rPr>
        <w:t xml:space="preserve"> Return</w:t>
      </w:r>
      <w:r>
        <w:t xml:space="preserve"> </w:t>
      </w:r>
      <w:r>
        <w:br/>
      </w:r>
      <w:r>
        <w:t xml:space="preserve">Opdrachtgever stelt als eis dat de Jeugdhulpaanbieder(s) met een regionale omzet van minimaal €250.000 euro omzet jeugd minimaal 2% van de opdrachtwaarde per contractjaar inzet ten behoeve van </w:t>
      </w:r>
      <w:proofErr w:type="spellStart"/>
      <w:r>
        <w:t>Social</w:t>
      </w:r>
      <w:proofErr w:type="spellEnd"/>
      <w:r>
        <w:t xml:space="preserve"> Return. Indien gebruik wordt gemaakt van de verlengingsopties geldt dit percentage ook per verlengingsjaar. bijlage 12 vindt u de wijze waarop de </w:t>
      </w:r>
      <w:proofErr w:type="spellStart"/>
      <w:r>
        <w:t>Social</w:t>
      </w:r>
      <w:proofErr w:type="spellEnd"/>
      <w:r>
        <w:t xml:space="preserve"> Return verplichting ingevuld kan worden.</w:t>
      </w:r>
    </w:p>
    <w:p w14:paraId="558FAC25" w14:textId="77777777" w:rsidR="00577866" w:rsidRDefault="00577866" w:rsidP="00577866">
      <w:pPr>
        <w:spacing w:after="0" w:line="240" w:lineRule="auto"/>
        <w:rPr>
          <w:rFonts w:eastAsia="Calibri" w:cs="Calibri"/>
        </w:rPr>
      </w:pPr>
    </w:p>
    <w:p w14:paraId="402C71B7" w14:textId="3ED742BE" w:rsidR="00577866" w:rsidRDefault="00577866" w:rsidP="00577866">
      <w:pPr>
        <w:pStyle w:val="Kop2"/>
        <w:rPr>
          <w:rFonts w:eastAsia="Calibri"/>
        </w:rPr>
      </w:pPr>
      <w:bookmarkStart w:id="7" w:name="_Toc188451979"/>
      <w:r>
        <w:rPr>
          <w:rFonts w:eastAsia="Calibri"/>
        </w:rPr>
        <w:t>Specificatie artikel Herzieningsclausules</w:t>
      </w:r>
      <w:bookmarkEnd w:id="7"/>
      <w:r>
        <w:rPr>
          <w:rFonts w:eastAsia="Calibri"/>
        </w:rPr>
        <w:t xml:space="preserve"> </w:t>
      </w:r>
    </w:p>
    <w:p w14:paraId="3DDBF2D8" w14:textId="77777777" w:rsidR="00577866" w:rsidRDefault="00577866" w:rsidP="00577866">
      <w:pPr>
        <w:tabs>
          <w:tab w:val="left" w:pos="2268"/>
        </w:tabs>
        <w:spacing w:after="0" w:line="280" w:lineRule="atLeast"/>
        <w:rPr>
          <w:rFonts w:eastAsia="Calibri" w:cs="Times New Roman"/>
          <w:iCs/>
        </w:rPr>
      </w:pPr>
      <w:r w:rsidRPr="009628B1">
        <w:rPr>
          <w:rFonts w:eastAsia="Calibri" w:cs="Times New Roman"/>
          <w:iCs/>
        </w:rPr>
        <w:t>‘De Gemeente kan de overeenkomst tussentijds wijzigen. De wijzigingen kunnen aanvullend op artikel 24 lid 3 zien op:</w:t>
      </w:r>
    </w:p>
    <w:p w14:paraId="43D9BED0" w14:textId="77777777" w:rsidR="005615C1" w:rsidRDefault="005615C1" w:rsidP="00577866">
      <w:pPr>
        <w:tabs>
          <w:tab w:val="left" w:pos="2268"/>
        </w:tabs>
        <w:spacing w:after="0" w:line="280" w:lineRule="atLeast"/>
        <w:rPr>
          <w:rFonts w:eastAsia="Calibri" w:cs="Times New Roman"/>
          <w:iCs/>
        </w:rPr>
      </w:pPr>
    </w:p>
    <w:p w14:paraId="3ED54D41" w14:textId="75BC00BB" w:rsidR="005615C1" w:rsidRPr="0015387E" w:rsidRDefault="005615C1" w:rsidP="0015387E">
      <w:pPr>
        <w:tabs>
          <w:tab w:val="left" w:pos="2268"/>
        </w:tabs>
        <w:spacing w:after="0" w:line="280" w:lineRule="atLeast"/>
        <w:rPr>
          <w:rFonts w:eastAsia="Calibri" w:cs="Times New Roman"/>
          <w:iCs/>
        </w:rPr>
      </w:pPr>
      <w:r>
        <w:t>Herziening van het tarief of de productstructuur, wijzigingen als gevolg van verandering in wet- en regelgeving en/of beleid, gewijzigde landelijke contractstandaarden, ontwikkelingen in de lokale toegang, toepassen van budgetplafonds en maximering van de instroom</w:t>
      </w:r>
      <w:r>
        <w:t xml:space="preserve">.’ </w:t>
      </w:r>
    </w:p>
    <w:p w14:paraId="66B48339" w14:textId="77777777" w:rsidR="009628B1" w:rsidRPr="009628B1" w:rsidRDefault="009628B1" w:rsidP="009628B1">
      <w:pPr>
        <w:spacing w:after="0" w:line="240" w:lineRule="auto"/>
        <w:rPr>
          <w:rFonts w:eastAsia="Calibri" w:cs="Calibri"/>
        </w:rPr>
      </w:pPr>
    </w:p>
    <w:p w14:paraId="7BE5F4C9" w14:textId="12882C41" w:rsidR="00577866" w:rsidRPr="00153071" w:rsidRDefault="00BD6F62" w:rsidP="00153071">
      <w:pPr>
        <w:tabs>
          <w:tab w:val="left" w:pos="2268"/>
        </w:tabs>
        <w:spacing w:after="0" w:line="280" w:lineRule="atLeast"/>
        <w:rPr>
          <w:rFonts w:eastAsia="Calibri" w:cs="Times New Roman"/>
          <w:iCs/>
        </w:rPr>
      </w:pPr>
      <w:bookmarkStart w:id="8" w:name="_Toc188451980"/>
      <w:r w:rsidRPr="00153071">
        <w:rPr>
          <w:rStyle w:val="Kop2Char"/>
        </w:rPr>
        <w:t>Vervallen artikel</w:t>
      </w:r>
      <w:bookmarkEnd w:id="8"/>
      <w:r w:rsidRPr="00153071">
        <w:rPr>
          <w:rFonts w:eastAsia="Calibri"/>
        </w:rPr>
        <w:t xml:space="preserve"> </w:t>
      </w:r>
      <w:r w:rsidRPr="00153071">
        <w:rPr>
          <w:rFonts w:ascii="Oranda BT" w:eastAsia="Calibri" w:hAnsi="Oranda BT" w:cstheme="majorBidi"/>
          <w:b/>
          <w:color w:val="A90A2E"/>
          <w:sz w:val="28"/>
          <w:szCs w:val="26"/>
        </w:rPr>
        <w:br/>
      </w:r>
      <w:r w:rsidR="0015387E">
        <w:rPr>
          <w:rFonts w:eastAsia="Calibri" w:cs="Times New Roman"/>
          <w:iCs/>
        </w:rPr>
        <w:t>Het</w:t>
      </w:r>
      <w:r w:rsidR="00577866" w:rsidRPr="00153071">
        <w:rPr>
          <w:rFonts w:eastAsia="Calibri" w:cs="Times New Roman"/>
          <w:iCs/>
        </w:rPr>
        <w:t xml:space="preserve"> volgende artikel, uit de versie 1.</w:t>
      </w:r>
      <w:r w:rsidR="005615C1">
        <w:rPr>
          <w:rFonts w:eastAsia="Calibri" w:cs="Times New Roman"/>
          <w:iCs/>
        </w:rPr>
        <w:t>0</w:t>
      </w:r>
      <w:r w:rsidR="00577866" w:rsidRPr="00153071">
        <w:rPr>
          <w:rFonts w:eastAsia="Calibri" w:cs="Times New Roman"/>
          <w:iCs/>
        </w:rPr>
        <w:t xml:space="preserve">, </w:t>
      </w:r>
      <w:r w:rsidR="0015387E">
        <w:rPr>
          <w:rFonts w:eastAsia="Calibri" w:cs="Times New Roman"/>
          <w:iCs/>
        </w:rPr>
        <w:t>is</w:t>
      </w:r>
      <w:r w:rsidR="00577866" w:rsidRPr="00153071">
        <w:rPr>
          <w:rFonts w:eastAsia="Calibri" w:cs="Times New Roman"/>
          <w:iCs/>
        </w:rPr>
        <w:t xml:space="preserve"> niet van toepassing verklaard op dit contract: </w:t>
      </w:r>
    </w:p>
    <w:p w14:paraId="32A81BE7" w14:textId="18B5F6F3" w:rsidR="00BD6F62" w:rsidRPr="00153071" w:rsidRDefault="00BD6F62" w:rsidP="00153071">
      <w:pPr>
        <w:tabs>
          <w:tab w:val="left" w:pos="2268"/>
        </w:tabs>
        <w:spacing w:after="0" w:line="280" w:lineRule="atLeast"/>
        <w:rPr>
          <w:rFonts w:eastAsia="Calibri" w:cs="Times New Roman"/>
          <w:iCs/>
        </w:rPr>
      </w:pPr>
      <w:r w:rsidRPr="00153071">
        <w:rPr>
          <w:rFonts w:eastAsia="Calibri" w:cs="Times New Roman"/>
          <w:iCs/>
        </w:rPr>
        <w:t>Artikel</w:t>
      </w:r>
      <w:r w:rsidR="005615C1">
        <w:rPr>
          <w:rFonts w:eastAsia="Calibri" w:cs="Times New Roman"/>
          <w:iCs/>
        </w:rPr>
        <w:t xml:space="preserve"> B</w:t>
      </w:r>
      <w:r w:rsidR="00577866" w:rsidRPr="00153071">
        <w:rPr>
          <w:rFonts w:eastAsia="Calibri" w:cs="Times New Roman"/>
          <w:iCs/>
        </w:rPr>
        <w:t xml:space="preserve">, </w:t>
      </w:r>
      <w:r w:rsidRPr="00153071">
        <w:rPr>
          <w:rFonts w:eastAsia="Calibri" w:cs="Times New Roman"/>
          <w:iCs/>
        </w:rPr>
        <w:t xml:space="preserve">versie 1.1 Jeugd, ‘mogelijkheid opzegging bij </w:t>
      </w:r>
      <w:r w:rsidR="005615C1">
        <w:rPr>
          <w:rFonts w:eastAsia="Calibri" w:cs="Times New Roman"/>
          <w:iCs/>
        </w:rPr>
        <w:t xml:space="preserve">niet </w:t>
      </w:r>
      <w:r w:rsidRPr="00153071">
        <w:rPr>
          <w:rFonts w:eastAsia="Calibri" w:cs="Times New Roman"/>
          <w:iCs/>
        </w:rPr>
        <w:t xml:space="preserve">voldoende inzet’ </w:t>
      </w:r>
      <w:r w:rsidR="00577866" w:rsidRPr="00153071">
        <w:rPr>
          <w:rFonts w:eastAsia="Calibri" w:cs="Times New Roman"/>
          <w:iCs/>
        </w:rPr>
        <w:br/>
      </w:r>
    </w:p>
    <w:p w14:paraId="0A947978" w14:textId="77777777" w:rsidR="00BD6F62" w:rsidRDefault="00BD6F62" w:rsidP="009628B1">
      <w:pPr>
        <w:keepNext/>
        <w:keepLines/>
        <w:tabs>
          <w:tab w:val="left" w:pos="851"/>
        </w:tabs>
        <w:spacing w:after="0" w:line="280" w:lineRule="atLeast"/>
        <w:outlineLvl w:val="1"/>
        <w:rPr>
          <w:rFonts w:eastAsia="Times New Roman" w:cs="Times New Roman"/>
          <w:b/>
        </w:rPr>
      </w:pPr>
    </w:p>
    <w:p w14:paraId="5AB0A2A5" w14:textId="77777777" w:rsidR="004A6AE0" w:rsidRPr="009628B1" w:rsidRDefault="004A6AE0" w:rsidP="000E4E1A">
      <w:pPr>
        <w:pStyle w:val="Geenafstand"/>
      </w:pPr>
    </w:p>
    <w:sectPr w:rsidR="004A6AE0" w:rsidRPr="00962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embedRegular r:id="rId1" w:fontKey="{1238BBC3-65E8-4B26-8AF7-91BDCA2B3F09}"/>
    <w:embedBold r:id="rId2" w:fontKey="{25B5A1C2-12C4-40F0-BAAE-8458D1C70703}"/>
    <w:embedItalic r:id="rId3" w:fontKey="{8CCBA003-5479-4852-8658-C0A10F0F3ED5}"/>
  </w:font>
  <w:font w:name="Oranda BT">
    <w:altName w:val="Times New Roman"/>
    <w:panose1 w:val="020A0603030505030204"/>
    <w:charset w:val="00"/>
    <w:family w:val="roman"/>
    <w:pitch w:val="variable"/>
    <w:sig w:usb0="00000087" w:usb1="00000000" w:usb2="00000000" w:usb3="00000000" w:csb0="0000001B" w:csb1="00000000"/>
    <w:embedBold r:id="rId4" w:fontKey="{FF5AC9BA-C031-48A5-937D-462E653E6BFD}"/>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531"/>
    <w:multiLevelType w:val="hybridMultilevel"/>
    <w:tmpl w:val="BC742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CE0954"/>
    <w:multiLevelType w:val="hybridMultilevel"/>
    <w:tmpl w:val="9BEC1F6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2FE9"/>
    <w:multiLevelType w:val="hybridMultilevel"/>
    <w:tmpl w:val="77C06D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B1A54"/>
    <w:multiLevelType w:val="hybridMultilevel"/>
    <w:tmpl w:val="C5A042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453937"/>
    <w:multiLevelType w:val="hybridMultilevel"/>
    <w:tmpl w:val="7D861A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A664DAC"/>
    <w:multiLevelType w:val="hybridMultilevel"/>
    <w:tmpl w:val="1F1A8E3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3B101A66"/>
    <w:multiLevelType w:val="hybridMultilevel"/>
    <w:tmpl w:val="C99CEF46"/>
    <w:lvl w:ilvl="0" w:tplc="0F800642">
      <w:start w:val="1"/>
      <w:numFmt w:val="decimal"/>
      <w:lvlText w:val="%1."/>
      <w:lvlJc w:val="left"/>
      <w:pPr>
        <w:ind w:left="1080" w:hanging="360"/>
      </w:pPr>
      <w:rPr>
        <w:rFonts w:ascii="Arial" w:hAnsi="Arial" w:cs="Arial" w:hint="default"/>
        <w:b w:val="0"/>
        <w:bCs w:val="0"/>
        <w:sz w:val="21"/>
        <w:szCs w:val="21"/>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C9B4BEA"/>
    <w:multiLevelType w:val="hybridMultilevel"/>
    <w:tmpl w:val="D4F0B8F8"/>
    <w:lvl w:ilvl="0" w:tplc="0F800642">
      <w:start w:val="1"/>
      <w:numFmt w:val="decimal"/>
      <w:lvlText w:val="%1."/>
      <w:lvlJc w:val="left"/>
      <w:pPr>
        <w:ind w:left="720" w:hanging="360"/>
      </w:pPr>
      <w:rPr>
        <w:rFonts w:ascii="Arial" w:hAnsi="Arial" w:cs="Arial" w:hint="default"/>
        <w:b w:val="0"/>
        <w:bCs w:val="0"/>
        <w:sz w:val="21"/>
        <w:szCs w:val="2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D11D80"/>
    <w:multiLevelType w:val="hybridMultilevel"/>
    <w:tmpl w:val="B97AEB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73508C"/>
    <w:multiLevelType w:val="hybridMultilevel"/>
    <w:tmpl w:val="9FCE5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7623CB"/>
    <w:multiLevelType w:val="hybridMultilevel"/>
    <w:tmpl w:val="B1D6E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1E405A"/>
    <w:multiLevelType w:val="hybridMultilevel"/>
    <w:tmpl w:val="201E8D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9D2A56"/>
    <w:multiLevelType w:val="hybridMultilevel"/>
    <w:tmpl w:val="9FAE43B6"/>
    <w:lvl w:ilvl="0" w:tplc="0F800642">
      <w:start w:val="1"/>
      <w:numFmt w:val="decimal"/>
      <w:lvlText w:val="%1."/>
      <w:lvlJc w:val="left"/>
      <w:pPr>
        <w:ind w:left="720" w:hanging="360"/>
      </w:pPr>
      <w:rPr>
        <w:rFonts w:ascii="Arial" w:hAnsi="Arial" w:cs="Arial" w:hint="default"/>
        <w:b w:val="0"/>
        <w:bCs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D24AA0"/>
    <w:multiLevelType w:val="hybridMultilevel"/>
    <w:tmpl w:val="31B08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AD2001"/>
    <w:multiLevelType w:val="hybridMultilevel"/>
    <w:tmpl w:val="FEBE64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DD75F6"/>
    <w:multiLevelType w:val="hybridMultilevel"/>
    <w:tmpl w:val="74D8FAA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31701E"/>
    <w:multiLevelType w:val="hybridMultilevel"/>
    <w:tmpl w:val="EBACB172"/>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7" w15:restartNumberingAfterBreak="0">
    <w:nsid w:val="7E3E608B"/>
    <w:multiLevelType w:val="hybridMultilevel"/>
    <w:tmpl w:val="FDDA290A"/>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7F74639B"/>
    <w:multiLevelType w:val="hybridMultilevel"/>
    <w:tmpl w:val="19BA596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1198851235">
    <w:abstractNumId w:val="1"/>
  </w:num>
  <w:num w:numId="2" w16cid:durableId="1492021166">
    <w:abstractNumId w:val="18"/>
  </w:num>
  <w:num w:numId="3" w16cid:durableId="1841657356">
    <w:abstractNumId w:val="5"/>
  </w:num>
  <w:num w:numId="4" w16cid:durableId="179780367">
    <w:abstractNumId w:val="3"/>
  </w:num>
  <w:num w:numId="5" w16cid:durableId="1411390558">
    <w:abstractNumId w:val="12"/>
  </w:num>
  <w:num w:numId="6" w16cid:durableId="379860876">
    <w:abstractNumId w:val="7"/>
  </w:num>
  <w:num w:numId="7" w16cid:durableId="1776248669">
    <w:abstractNumId w:val="6"/>
  </w:num>
  <w:num w:numId="8" w16cid:durableId="483207013">
    <w:abstractNumId w:val="9"/>
  </w:num>
  <w:num w:numId="9" w16cid:durableId="1700931852">
    <w:abstractNumId w:val="8"/>
  </w:num>
  <w:num w:numId="10" w16cid:durableId="878468342">
    <w:abstractNumId w:val="4"/>
  </w:num>
  <w:num w:numId="11" w16cid:durableId="437146491">
    <w:abstractNumId w:val="16"/>
  </w:num>
  <w:num w:numId="12" w16cid:durableId="31153175">
    <w:abstractNumId w:val="17"/>
  </w:num>
  <w:num w:numId="13" w16cid:durableId="1975941061">
    <w:abstractNumId w:val="0"/>
  </w:num>
  <w:num w:numId="14" w16cid:durableId="928196248">
    <w:abstractNumId w:val="10"/>
  </w:num>
  <w:num w:numId="15" w16cid:durableId="1501627541">
    <w:abstractNumId w:val="13"/>
  </w:num>
  <w:num w:numId="16" w16cid:durableId="439033556">
    <w:abstractNumId w:val="15"/>
  </w:num>
  <w:num w:numId="17" w16cid:durableId="215895577">
    <w:abstractNumId w:val="14"/>
  </w:num>
  <w:num w:numId="18" w16cid:durableId="1175808332">
    <w:abstractNumId w:val="11"/>
  </w:num>
  <w:num w:numId="19" w16cid:durableId="155210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0"/>
    <w:rsid w:val="00021ADE"/>
    <w:rsid w:val="00023188"/>
    <w:rsid w:val="000E4E1A"/>
    <w:rsid w:val="00153071"/>
    <w:rsid w:val="0015387E"/>
    <w:rsid w:val="001B5670"/>
    <w:rsid w:val="00212C48"/>
    <w:rsid w:val="00286AEE"/>
    <w:rsid w:val="00493352"/>
    <w:rsid w:val="0049413B"/>
    <w:rsid w:val="004A09E1"/>
    <w:rsid w:val="004A6AE0"/>
    <w:rsid w:val="004C4AC0"/>
    <w:rsid w:val="004E2C7A"/>
    <w:rsid w:val="005615C1"/>
    <w:rsid w:val="00577866"/>
    <w:rsid w:val="00593D3B"/>
    <w:rsid w:val="005B267A"/>
    <w:rsid w:val="006E35D8"/>
    <w:rsid w:val="006F26F1"/>
    <w:rsid w:val="007102E5"/>
    <w:rsid w:val="00787DED"/>
    <w:rsid w:val="007D0FDE"/>
    <w:rsid w:val="0086615A"/>
    <w:rsid w:val="008A227A"/>
    <w:rsid w:val="00951AD6"/>
    <w:rsid w:val="009628B1"/>
    <w:rsid w:val="00981789"/>
    <w:rsid w:val="00996E71"/>
    <w:rsid w:val="009E68BC"/>
    <w:rsid w:val="00A173D1"/>
    <w:rsid w:val="00A20803"/>
    <w:rsid w:val="00A46B51"/>
    <w:rsid w:val="00AB00DE"/>
    <w:rsid w:val="00AD4796"/>
    <w:rsid w:val="00B34E38"/>
    <w:rsid w:val="00BD6F62"/>
    <w:rsid w:val="00C36D5A"/>
    <w:rsid w:val="00C4526A"/>
    <w:rsid w:val="00C84C75"/>
    <w:rsid w:val="00D6079D"/>
    <w:rsid w:val="00D94550"/>
    <w:rsid w:val="00D96FAD"/>
    <w:rsid w:val="00DD3EBB"/>
    <w:rsid w:val="00DE6A63"/>
    <w:rsid w:val="00E82AB0"/>
    <w:rsid w:val="00EA2724"/>
    <w:rsid w:val="00EB081A"/>
    <w:rsid w:val="00EF217B"/>
    <w:rsid w:val="00F50235"/>
    <w:rsid w:val="00F721EA"/>
    <w:rsid w:val="00F82007"/>
    <w:rsid w:val="00F8763E"/>
    <w:rsid w:val="00F93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341F"/>
  <w15:chartTrackingRefBased/>
  <w15:docId w15:val="{219208CB-8355-4F5B-9AA9-2BD83132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0E4E1A"/>
    <w:pPr>
      <w:spacing w:after="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Lijstalinea">
    <w:name w:val="List Paragraph"/>
    <w:basedOn w:val="Standaard"/>
    <w:uiPriority w:val="34"/>
    <w:qFormat/>
    <w:rsid w:val="004A6AE0"/>
    <w:pPr>
      <w:ind w:left="720"/>
      <w:contextualSpacing/>
    </w:pPr>
  </w:style>
  <w:style w:type="paragraph" w:styleId="Plattetekst">
    <w:name w:val="Body Text"/>
    <w:basedOn w:val="Standaard"/>
    <w:link w:val="PlattetekstChar"/>
    <w:uiPriority w:val="1"/>
    <w:rsid w:val="004A6AE0"/>
    <w:pPr>
      <w:tabs>
        <w:tab w:val="left" w:pos="2268"/>
      </w:tabs>
      <w:spacing w:after="0" w:line="280" w:lineRule="atLeast"/>
      <w:ind w:left="567"/>
    </w:pPr>
    <w:rPr>
      <w:rFonts w:asciiTheme="minorHAnsi" w:hAnsiTheme="minorHAnsi"/>
      <w:sz w:val="21"/>
      <w:szCs w:val="24"/>
    </w:rPr>
  </w:style>
  <w:style w:type="character" w:customStyle="1" w:styleId="PlattetekstChar">
    <w:name w:val="Platte tekst Char"/>
    <w:basedOn w:val="Standaardalinea-lettertype"/>
    <w:link w:val="Plattetekst"/>
    <w:uiPriority w:val="1"/>
    <w:rsid w:val="004A6AE0"/>
    <w:rPr>
      <w:sz w:val="21"/>
      <w:szCs w:val="24"/>
    </w:rPr>
  </w:style>
  <w:style w:type="paragraph" w:customStyle="1" w:styleId="OpsommingN1Bullet">
    <w:name w:val="Opsomming N1 Bullet"/>
    <w:basedOn w:val="Plattetekst"/>
    <w:uiPriority w:val="4"/>
    <w:qFormat/>
    <w:rsid w:val="004A6AE0"/>
    <w:pPr>
      <w:numPr>
        <w:numId w:val="1"/>
      </w:numPr>
      <w:tabs>
        <w:tab w:val="clear" w:pos="284"/>
      </w:tabs>
      <w:ind w:left="851"/>
    </w:pPr>
  </w:style>
  <w:style w:type="paragraph" w:customStyle="1" w:styleId="Tussenkop">
    <w:name w:val="Tussenkop"/>
    <w:basedOn w:val="Standaard"/>
    <w:next w:val="Plattetekst"/>
    <w:uiPriority w:val="3"/>
    <w:qFormat/>
    <w:rsid w:val="004A6AE0"/>
    <w:pPr>
      <w:keepNext/>
      <w:tabs>
        <w:tab w:val="left" w:pos="284"/>
        <w:tab w:val="left" w:pos="567"/>
      </w:tabs>
      <w:spacing w:after="0" w:line="280" w:lineRule="atLeast"/>
      <w:ind w:left="567"/>
    </w:pPr>
    <w:rPr>
      <w:rFonts w:asciiTheme="minorHAnsi" w:hAnsiTheme="minorHAnsi"/>
      <w:b/>
      <w:sz w:val="21"/>
      <w:szCs w:val="24"/>
    </w:rPr>
  </w:style>
  <w:style w:type="character" w:styleId="Verwijzingopmerking">
    <w:name w:val="annotation reference"/>
    <w:basedOn w:val="Standaardalinea-lettertype"/>
    <w:uiPriority w:val="99"/>
    <w:semiHidden/>
    <w:unhideWhenUsed/>
    <w:rsid w:val="00DD3EBB"/>
    <w:rPr>
      <w:sz w:val="16"/>
      <w:szCs w:val="16"/>
    </w:rPr>
  </w:style>
  <w:style w:type="paragraph" w:styleId="Tekstopmerking">
    <w:name w:val="annotation text"/>
    <w:basedOn w:val="Standaard"/>
    <w:link w:val="TekstopmerkingChar"/>
    <w:uiPriority w:val="99"/>
    <w:unhideWhenUsed/>
    <w:rsid w:val="00DD3EBB"/>
    <w:pPr>
      <w:spacing w:line="240" w:lineRule="auto"/>
    </w:pPr>
    <w:rPr>
      <w:sz w:val="20"/>
      <w:szCs w:val="20"/>
    </w:rPr>
  </w:style>
  <w:style w:type="character" w:customStyle="1" w:styleId="TekstopmerkingChar">
    <w:name w:val="Tekst opmerking Char"/>
    <w:basedOn w:val="Standaardalinea-lettertype"/>
    <w:link w:val="Tekstopmerking"/>
    <w:uiPriority w:val="99"/>
    <w:rsid w:val="00DD3EBB"/>
    <w:rPr>
      <w:rFonts w:ascii="Source Sans Pro" w:hAnsi="Source Sans Pro"/>
      <w:sz w:val="20"/>
      <w:szCs w:val="20"/>
    </w:rPr>
  </w:style>
  <w:style w:type="paragraph" w:styleId="Onderwerpvanopmerking">
    <w:name w:val="annotation subject"/>
    <w:basedOn w:val="Tekstopmerking"/>
    <w:next w:val="Tekstopmerking"/>
    <w:link w:val="OnderwerpvanopmerkingChar"/>
    <w:uiPriority w:val="99"/>
    <w:semiHidden/>
    <w:unhideWhenUsed/>
    <w:rsid w:val="00DD3EBB"/>
    <w:rPr>
      <w:b/>
      <w:bCs/>
    </w:rPr>
  </w:style>
  <w:style w:type="character" w:customStyle="1" w:styleId="OnderwerpvanopmerkingChar">
    <w:name w:val="Onderwerp van opmerking Char"/>
    <w:basedOn w:val="TekstopmerkingChar"/>
    <w:link w:val="Onderwerpvanopmerking"/>
    <w:uiPriority w:val="99"/>
    <w:semiHidden/>
    <w:rsid w:val="00DD3EBB"/>
    <w:rPr>
      <w:rFonts w:ascii="Source Sans Pro" w:hAnsi="Source Sans Pro"/>
      <w:b/>
      <w:bCs/>
      <w:sz w:val="20"/>
      <w:szCs w:val="20"/>
    </w:rPr>
  </w:style>
  <w:style w:type="paragraph" w:styleId="Inhopg2">
    <w:name w:val="toc 2"/>
    <w:basedOn w:val="Standaard"/>
    <w:next w:val="Standaard"/>
    <w:autoRedefine/>
    <w:uiPriority w:val="39"/>
    <w:unhideWhenUsed/>
    <w:rsid w:val="009628B1"/>
    <w:pPr>
      <w:spacing w:after="100"/>
      <w:ind w:left="190"/>
    </w:pPr>
  </w:style>
  <w:style w:type="character" w:styleId="Hyperlink">
    <w:name w:val="Hyperlink"/>
    <w:basedOn w:val="Standaardalinea-lettertype"/>
    <w:uiPriority w:val="99"/>
    <w:unhideWhenUsed/>
    <w:rsid w:val="009628B1"/>
    <w:rPr>
      <w:color w:val="61B5A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Huisstijl Nijmegen">
      <a:dk1>
        <a:sysClr val="windowText" lastClr="000000"/>
      </a:dk1>
      <a:lt1>
        <a:sysClr val="window" lastClr="FFFFFF"/>
      </a:lt1>
      <a:dk2>
        <a:srgbClr val="C76667"/>
      </a:dk2>
      <a:lt2>
        <a:srgbClr val="A90A2E"/>
      </a:lt2>
      <a:accent1>
        <a:srgbClr val="DCA09B"/>
      </a:accent1>
      <a:accent2>
        <a:srgbClr val="03A9F4"/>
      </a:accent2>
      <a:accent3>
        <a:srgbClr val="B0D0EF"/>
      </a:accent3>
      <a:accent4>
        <a:srgbClr val="F57C00"/>
      </a:accent4>
      <a:accent5>
        <a:srgbClr val="F8B472"/>
      </a:accent5>
      <a:accent6>
        <a:srgbClr val="9E9D24"/>
      </a:accent6>
      <a:hlink>
        <a:srgbClr val="61B5A5"/>
      </a:hlink>
      <a:folHlink>
        <a:srgbClr val="B8DAD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BB08-B816-461D-8CD2-99F7EA59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1190</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Schapendonk</dc:creator>
  <cp:keywords/>
  <dc:description/>
  <cp:lastModifiedBy>Mandy Schapendonk</cp:lastModifiedBy>
  <cp:revision>3</cp:revision>
  <dcterms:created xsi:type="dcterms:W3CDTF">2025-01-22T14:05:00Z</dcterms:created>
  <dcterms:modified xsi:type="dcterms:W3CDTF">2025-01-22T14:25:00Z</dcterms:modified>
</cp:coreProperties>
</file>