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FAAD7" w14:textId="799F74B5" w:rsidR="004A6AE0" w:rsidRPr="009628B1" w:rsidRDefault="004A6AE0" w:rsidP="00577866">
      <w:pPr>
        <w:pStyle w:val="Kopvaninhoudsopgave"/>
      </w:pPr>
      <w:r w:rsidRPr="009628B1">
        <w:t>Overeenkomst</w:t>
      </w:r>
      <w:r w:rsidR="00DF7C2E">
        <w:t xml:space="preserve"> begeleiding, vaktherapie en logeeropvang jeugd</w:t>
      </w:r>
      <w:r w:rsidRPr="009628B1">
        <w:t xml:space="preserve"> –</w:t>
      </w:r>
      <w:r w:rsidR="00BD6F62">
        <w:t xml:space="preserve"> specificaties </w:t>
      </w:r>
      <w:r w:rsidRPr="009628B1">
        <w:t xml:space="preserve">t.o.v. landelijke contractstandaarden </w:t>
      </w:r>
    </w:p>
    <w:p w14:paraId="3BFEBFE7" w14:textId="77777777" w:rsidR="004A6AE0" w:rsidRPr="009628B1" w:rsidRDefault="004A6AE0" w:rsidP="000E4E1A">
      <w:pPr>
        <w:pStyle w:val="Geenafstand"/>
      </w:pPr>
    </w:p>
    <w:p w14:paraId="547C2418" w14:textId="58905509" w:rsidR="00BD6F62" w:rsidRDefault="00A20803" w:rsidP="000E4E1A">
      <w:pPr>
        <w:pStyle w:val="Geenafstand"/>
      </w:pPr>
      <w:r w:rsidRPr="009628B1">
        <w:t xml:space="preserve">In het contract </w:t>
      </w:r>
      <w:r w:rsidR="00DF7C2E">
        <w:t xml:space="preserve">begeleiding, vaktherapie en logeeropvang jeugd </w:t>
      </w:r>
      <w:r w:rsidRPr="009628B1">
        <w:t xml:space="preserve">zijn de landelijke contractstandaarden toegepast. Voorafgaand aan ondertekening van de overeenkomst heeft de Gemeente artikelen toegevoegd </w:t>
      </w:r>
      <w:r w:rsidR="00BD6F62">
        <w:t>en</w:t>
      </w:r>
      <w:r w:rsidRPr="009628B1">
        <w:t xml:space="preserve"> nader gespecificeerd. </w:t>
      </w:r>
      <w:r w:rsidR="00BD6F62">
        <w:t xml:space="preserve">Ook heeft zij een aantal artikelen ‘niet van toepassing’ verklaard. </w:t>
      </w:r>
    </w:p>
    <w:p w14:paraId="3B447467" w14:textId="77777777" w:rsidR="00BD6F62" w:rsidRDefault="00BD6F62" w:rsidP="000E4E1A">
      <w:pPr>
        <w:pStyle w:val="Geenafstand"/>
      </w:pPr>
    </w:p>
    <w:p w14:paraId="0C88C233" w14:textId="3981952B" w:rsidR="00A20803" w:rsidRPr="009628B1" w:rsidRDefault="00A20803" w:rsidP="000E4E1A">
      <w:pPr>
        <w:pStyle w:val="Geenafstand"/>
      </w:pPr>
      <w:r w:rsidRPr="009628B1">
        <w:t xml:space="preserve">De overeenkomst van dit contract verandert gedurende de looptijd door nieuwe releases van de landelijke contractstandaarden. In deze nieuwe releases zijn de </w:t>
      </w:r>
      <w:r w:rsidR="00BD6F62">
        <w:t xml:space="preserve">‘extra’ </w:t>
      </w:r>
      <w:r w:rsidRPr="009628B1">
        <w:t xml:space="preserve">artikelen en nadere definities van de Gemeente (vanzelfsprekend) niet langer zichtbaar. </w:t>
      </w:r>
    </w:p>
    <w:p w14:paraId="048571BE" w14:textId="77777777" w:rsidR="00A20803" w:rsidRPr="009628B1" w:rsidRDefault="00A20803" w:rsidP="000E4E1A">
      <w:pPr>
        <w:pStyle w:val="Geenafstand"/>
      </w:pPr>
    </w:p>
    <w:p w14:paraId="78B1485C" w14:textId="6657EE0B" w:rsidR="00A20803" w:rsidRDefault="00A20803" w:rsidP="00DD3EBB">
      <w:pPr>
        <w:pStyle w:val="Geenafstand"/>
      </w:pPr>
      <w:r w:rsidRPr="009628B1">
        <w:t xml:space="preserve">Om het risico te verminderen dat hierdoor fouten ontstaan in de uitvoering van de Overeenkomst door Partijen, heeft de Gemeente in dit document alle onderdelen van de overeenkomst </w:t>
      </w:r>
      <w:r w:rsidR="00DD3EBB" w:rsidRPr="009628B1">
        <w:t>die de Gemeente voorafgaand aan ondertekening heeft toegevoegd</w:t>
      </w:r>
      <w:r w:rsidR="00BD6F62">
        <w:t xml:space="preserve">, </w:t>
      </w:r>
      <w:r w:rsidR="00DD3EBB" w:rsidRPr="009628B1">
        <w:t>gedefinieerd</w:t>
      </w:r>
      <w:r w:rsidR="00BD6F62">
        <w:t xml:space="preserve"> of laten vervallen</w:t>
      </w:r>
      <w:r w:rsidR="00DD3EBB" w:rsidRPr="009628B1">
        <w:t xml:space="preserve">, hieronder opgesomd. </w:t>
      </w:r>
      <w:r w:rsidRPr="009628B1">
        <w:t xml:space="preserve">Op deze manier hebben Partijen met het hanteren van de actuele landelijke contractstandaarden en dit </w:t>
      </w:r>
      <w:r w:rsidR="00DD3EBB" w:rsidRPr="009628B1">
        <w:t>document</w:t>
      </w:r>
      <w:r w:rsidRPr="009628B1">
        <w:t>, altijd de actuele en volledige overeenkomst voor ogen.</w:t>
      </w:r>
    </w:p>
    <w:p w14:paraId="75202F28" w14:textId="77777777" w:rsidR="009628B1" w:rsidRDefault="009628B1" w:rsidP="00DD3EBB">
      <w:pPr>
        <w:pStyle w:val="Geenafstand"/>
      </w:pPr>
    </w:p>
    <w:sdt>
      <w:sdtPr>
        <w:rPr>
          <w:rFonts w:ascii="Source Sans Pro" w:eastAsiaTheme="minorHAnsi" w:hAnsi="Source Sans Pro" w:cstheme="minorBidi"/>
          <w:b w:val="0"/>
          <w:color w:val="auto"/>
          <w:sz w:val="19"/>
          <w:szCs w:val="19"/>
        </w:rPr>
        <w:id w:val="643083144"/>
        <w:docPartObj>
          <w:docPartGallery w:val="Table of Contents"/>
          <w:docPartUnique/>
        </w:docPartObj>
      </w:sdtPr>
      <w:sdtEndPr>
        <w:rPr>
          <w:bCs/>
        </w:rPr>
      </w:sdtEndPr>
      <w:sdtContent>
        <w:p w14:paraId="78677AEB" w14:textId="7DEA533D" w:rsidR="009628B1" w:rsidRDefault="009628B1">
          <w:pPr>
            <w:pStyle w:val="Kopvaninhoudsopgave"/>
          </w:pPr>
          <w:r>
            <w:t>Inhoud</w:t>
          </w:r>
        </w:p>
        <w:p w14:paraId="11E4B901" w14:textId="6BA1A61C" w:rsidR="00153071" w:rsidRDefault="009628B1">
          <w:pPr>
            <w:pStyle w:val="Inhopg2"/>
            <w:tabs>
              <w:tab w:val="right" w:leader="dot" w:pos="9062"/>
            </w:tabs>
            <w:rPr>
              <w:rFonts w:asciiTheme="minorHAnsi" w:eastAsiaTheme="minorEastAsia" w:hAnsiTheme="minorHAnsi"/>
              <w:noProof/>
              <w:kern w:val="2"/>
              <w:sz w:val="24"/>
              <w:szCs w:val="24"/>
              <w:lang w:eastAsia="nl-NL"/>
              <w14:ligatures w14:val="standardContextual"/>
            </w:rPr>
          </w:pPr>
          <w:r>
            <w:fldChar w:fldCharType="begin"/>
          </w:r>
          <w:r>
            <w:instrText xml:space="preserve"> TOC \o "1-3" \h \z \u </w:instrText>
          </w:r>
          <w:r>
            <w:fldChar w:fldCharType="separate"/>
          </w:r>
          <w:hyperlink w:anchor="_Toc184735461" w:history="1">
            <w:r w:rsidR="00153071" w:rsidRPr="00935994">
              <w:rPr>
                <w:rStyle w:val="Hyperlink"/>
                <w:noProof/>
              </w:rPr>
              <w:t>Definitie ernstige beroepsfout</w:t>
            </w:r>
            <w:r w:rsidR="00153071">
              <w:rPr>
                <w:noProof/>
                <w:webHidden/>
              </w:rPr>
              <w:tab/>
            </w:r>
            <w:r w:rsidR="00153071">
              <w:rPr>
                <w:noProof/>
                <w:webHidden/>
              </w:rPr>
              <w:fldChar w:fldCharType="begin"/>
            </w:r>
            <w:r w:rsidR="00153071">
              <w:rPr>
                <w:noProof/>
                <w:webHidden/>
              </w:rPr>
              <w:instrText xml:space="preserve"> PAGEREF _Toc184735461 \h </w:instrText>
            </w:r>
            <w:r w:rsidR="00153071">
              <w:rPr>
                <w:noProof/>
                <w:webHidden/>
              </w:rPr>
            </w:r>
            <w:r w:rsidR="00153071">
              <w:rPr>
                <w:noProof/>
                <w:webHidden/>
              </w:rPr>
              <w:fldChar w:fldCharType="separate"/>
            </w:r>
            <w:r w:rsidR="00153071">
              <w:rPr>
                <w:noProof/>
                <w:webHidden/>
              </w:rPr>
              <w:t>2</w:t>
            </w:r>
            <w:r w:rsidR="00153071">
              <w:rPr>
                <w:noProof/>
                <w:webHidden/>
              </w:rPr>
              <w:fldChar w:fldCharType="end"/>
            </w:r>
          </w:hyperlink>
        </w:p>
        <w:p w14:paraId="0E9A253F" w14:textId="470B7795" w:rsidR="00153071" w:rsidRDefault="00DF7C2E">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2" w:history="1">
            <w:r w:rsidR="00153071" w:rsidRPr="00935994">
              <w:rPr>
                <w:rStyle w:val="Hyperlink"/>
                <w:noProof/>
              </w:rPr>
              <w:t>Definitie looptijd overeenkomst</w:t>
            </w:r>
            <w:r w:rsidR="00153071">
              <w:rPr>
                <w:noProof/>
                <w:webHidden/>
              </w:rPr>
              <w:tab/>
            </w:r>
            <w:r w:rsidR="00153071">
              <w:rPr>
                <w:noProof/>
                <w:webHidden/>
              </w:rPr>
              <w:fldChar w:fldCharType="begin"/>
            </w:r>
            <w:r w:rsidR="00153071">
              <w:rPr>
                <w:noProof/>
                <w:webHidden/>
              </w:rPr>
              <w:instrText xml:space="preserve"> PAGEREF _Toc184735462 \h </w:instrText>
            </w:r>
            <w:r w:rsidR="00153071">
              <w:rPr>
                <w:noProof/>
                <w:webHidden/>
              </w:rPr>
            </w:r>
            <w:r w:rsidR="00153071">
              <w:rPr>
                <w:noProof/>
                <w:webHidden/>
              </w:rPr>
              <w:fldChar w:fldCharType="separate"/>
            </w:r>
            <w:r w:rsidR="00153071">
              <w:rPr>
                <w:noProof/>
                <w:webHidden/>
              </w:rPr>
              <w:t>2</w:t>
            </w:r>
            <w:r w:rsidR="00153071">
              <w:rPr>
                <w:noProof/>
                <w:webHidden/>
              </w:rPr>
              <w:fldChar w:fldCharType="end"/>
            </w:r>
          </w:hyperlink>
        </w:p>
        <w:p w14:paraId="4A93991C" w14:textId="71B59FE6" w:rsidR="00153071" w:rsidRDefault="00DF7C2E">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3" w:history="1">
            <w:r w:rsidR="00153071" w:rsidRPr="00935994">
              <w:rPr>
                <w:rStyle w:val="Hyperlink"/>
                <w:noProof/>
              </w:rPr>
              <w:t>Definitie gecontracteerde producten</w:t>
            </w:r>
            <w:r w:rsidR="00153071">
              <w:rPr>
                <w:noProof/>
                <w:webHidden/>
              </w:rPr>
              <w:tab/>
            </w:r>
            <w:r w:rsidR="00153071">
              <w:rPr>
                <w:noProof/>
                <w:webHidden/>
              </w:rPr>
              <w:fldChar w:fldCharType="begin"/>
            </w:r>
            <w:r w:rsidR="00153071">
              <w:rPr>
                <w:noProof/>
                <w:webHidden/>
              </w:rPr>
              <w:instrText xml:space="preserve"> PAGEREF _Toc184735463 \h </w:instrText>
            </w:r>
            <w:r w:rsidR="00153071">
              <w:rPr>
                <w:noProof/>
                <w:webHidden/>
              </w:rPr>
            </w:r>
            <w:r w:rsidR="00153071">
              <w:rPr>
                <w:noProof/>
                <w:webHidden/>
              </w:rPr>
              <w:fldChar w:fldCharType="separate"/>
            </w:r>
            <w:r w:rsidR="00153071">
              <w:rPr>
                <w:noProof/>
                <w:webHidden/>
              </w:rPr>
              <w:t>2</w:t>
            </w:r>
            <w:r w:rsidR="00153071">
              <w:rPr>
                <w:noProof/>
                <w:webHidden/>
              </w:rPr>
              <w:fldChar w:fldCharType="end"/>
            </w:r>
          </w:hyperlink>
        </w:p>
        <w:p w14:paraId="1B659BFE" w14:textId="1EB265B6" w:rsidR="00153071" w:rsidRDefault="00DF7C2E">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4" w:history="1">
            <w:r w:rsidR="00153071" w:rsidRPr="00935994">
              <w:rPr>
                <w:rStyle w:val="Hyperlink"/>
                <w:noProof/>
              </w:rPr>
              <w:t>Extra artikelen signaalplafonds</w:t>
            </w:r>
            <w:r w:rsidR="00153071">
              <w:rPr>
                <w:noProof/>
                <w:webHidden/>
              </w:rPr>
              <w:tab/>
            </w:r>
            <w:r w:rsidR="00153071">
              <w:rPr>
                <w:noProof/>
                <w:webHidden/>
              </w:rPr>
              <w:fldChar w:fldCharType="begin"/>
            </w:r>
            <w:r w:rsidR="00153071">
              <w:rPr>
                <w:noProof/>
                <w:webHidden/>
              </w:rPr>
              <w:instrText xml:space="preserve"> PAGEREF _Toc184735464 \h </w:instrText>
            </w:r>
            <w:r w:rsidR="00153071">
              <w:rPr>
                <w:noProof/>
                <w:webHidden/>
              </w:rPr>
            </w:r>
            <w:r w:rsidR="00153071">
              <w:rPr>
                <w:noProof/>
                <w:webHidden/>
              </w:rPr>
              <w:fldChar w:fldCharType="separate"/>
            </w:r>
            <w:r w:rsidR="00153071">
              <w:rPr>
                <w:noProof/>
                <w:webHidden/>
              </w:rPr>
              <w:t>3</w:t>
            </w:r>
            <w:r w:rsidR="00153071">
              <w:rPr>
                <w:noProof/>
                <w:webHidden/>
              </w:rPr>
              <w:fldChar w:fldCharType="end"/>
            </w:r>
          </w:hyperlink>
        </w:p>
        <w:p w14:paraId="241E2A6E" w14:textId="51D8CFC2" w:rsidR="00153071" w:rsidRDefault="00DF7C2E">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5" w:history="1">
            <w:r w:rsidR="00153071" w:rsidRPr="00935994">
              <w:rPr>
                <w:rStyle w:val="Hyperlink"/>
                <w:rFonts w:eastAsia="Calibri"/>
                <w:noProof/>
              </w:rPr>
              <w:t>Extra artikel bestedingsruimte</w:t>
            </w:r>
            <w:r w:rsidR="00153071">
              <w:rPr>
                <w:noProof/>
                <w:webHidden/>
              </w:rPr>
              <w:tab/>
            </w:r>
            <w:r w:rsidR="00153071">
              <w:rPr>
                <w:noProof/>
                <w:webHidden/>
              </w:rPr>
              <w:fldChar w:fldCharType="begin"/>
            </w:r>
            <w:r w:rsidR="00153071">
              <w:rPr>
                <w:noProof/>
                <w:webHidden/>
              </w:rPr>
              <w:instrText xml:space="preserve"> PAGEREF _Toc184735465 \h </w:instrText>
            </w:r>
            <w:r w:rsidR="00153071">
              <w:rPr>
                <w:noProof/>
                <w:webHidden/>
              </w:rPr>
            </w:r>
            <w:r w:rsidR="00153071">
              <w:rPr>
                <w:noProof/>
                <w:webHidden/>
              </w:rPr>
              <w:fldChar w:fldCharType="separate"/>
            </w:r>
            <w:r w:rsidR="00153071">
              <w:rPr>
                <w:noProof/>
                <w:webHidden/>
              </w:rPr>
              <w:t>5</w:t>
            </w:r>
            <w:r w:rsidR="00153071">
              <w:rPr>
                <w:noProof/>
                <w:webHidden/>
              </w:rPr>
              <w:fldChar w:fldCharType="end"/>
            </w:r>
          </w:hyperlink>
        </w:p>
        <w:p w14:paraId="344E788E" w14:textId="7520C314" w:rsidR="00153071" w:rsidRDefault="00DF7C2E">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6" w:history="1">
            <w:r w:rsidR="00153071" w:rsidRPr="00935994">
              <w:rPr>
                <w:rStyle w:val="Hyperlink"/>
                <w:rFonts w:eastAsia="Times New Roman"/>
                <w:noProof/>
              </w:rPr>
              <w:t>Extra artikel communicatie bestedingsruimte en signaalplafond</w:t>
            </w:r>
            <w:r w:rsidR="00153071">
              <w:rPr>
                <w:noProof/>
                <w:webHidden/>
              </w:rPr>
              <w:tab/>
            </w:r>
            <w:r w:rsidR="00153071">
              <w:rPr>
                <w:noProof/>
                <w:webHidden/>
              </w:rPr>
              <w:fldChar w:fldCharType="begin"/>
            </w:r>
            <w:r w:rsidR="00153071">
              <w:rPr>
                <w:noProof/>
                <w:webHidden/>
              </w:rPr>
              <w:instrText xml:space="preserve"> PAGEREF _Toc184735466 \h </w:instrText>
            </w:r>
            <w:r w:rsidR="00153071">
              <w:rPr>
                <w:noProof/>
                <w:webHidden/>
              </w:rPr>
            </w:r>
            <w:r w:rsidR="00153071">
              <w:rPr>
                <w:noProof/>
                <w:webHidden/>
              </w:rPr>
              <w:fldChar w:fldCharType="separate"/>
            </w:r>
            <w:r w:rsidR="00153071">
              <w:rPr>
                <w:noProof/>
                <w:webHidden/>
              </w:rPr>
              <w:t>5</w:t>
            </w:r>
            <w:r w:rsidR="00153071">
              <w:rPr>
                <w:noProof/>
                <w:webHidden/>
              </w:rPr>
              <w:fldChar w:fldCharType="end"/>
            </w:r>
          </w:hyperlink>
        </w:p>
        <w:p w14:paraId="4173BB13" w14:textId="728668F6" w:rsidR="00153071" w:rsidRDefault="00DF7C2E">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7" w:history="1">
            <w:r w:rsidR="00153071" w:rsidRPr="00935994">
              <w:rPr>
                <w:rStyle w:val="Hyperlink"/>
                <w:rFonts w:eastAsia="Calibri"/>
                <w:noProof/>
              </w:rPr>
              <w:t>Extra artikel nadere afspraken</w:t>
            </w:r>
            <w:r w:rsidR="00153071">
              <w:rPr>
                <w:noProof/>
                <w:webHidden/>
              </w:rPr>
              <w:tab/>
            </w:r>
            <w:r w:rsidR="00153071">
              <w:rPr>
                <w:noProof/>
                <w:webHidden/>
              </w:rPr>
              <w:fldChar w:fldCharType="begin"/>
            </w:r>
            <w:r w:rsidR="00153071">
              <w:rPr>
                <w:noProof/>
                <w:webHidden/>
              </w:rPr>
              <w:instrText xml:space="preserve"> PAGEREF _Toc184735467 \h </w:instrText>
            </w:r>
            <w:r w:rsidR="00153071">
              <w:rPr>
                <w:noProof/>
                <w:webHidden/>
              </w:rPr>
            </w:r>
            <w:r w:rsidR="00153071">
              <w:rPr>
                <w:noProof/>
                <w:webHidden/>
              </w:rPr>
              <w:fldChar w:fldCharType="separate"/>
            </w:r>
            <w:r w:rsidR="00153071">
              <w:rPr>
                <w:noProof/>
                <w:webHidden/>
              </w:rPr>
              <w:t>5</w:t>
            </w:r>
            <w:r w:rsidR="00153071">
              <w:rPr>
                <w:noProof/>
                <w:webHidden/>
              </w:rPr>
              <w:fldChar w:fldCharType="end"/>
            </w:r>
          </w:hyperlink>
        </w:p>
        <w:p w14:paraId="0FDC996D" w14:textId="072B2D20" w:rsidR="00153071" w:rsidRDefault="00DF7C2E">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8" w:history="1">
            <w:r w:rsidR="00153071" w:rsidRPr="00935994">
              <w:rPr>
                <w:rStyle w:val="Hyperlink"/>
                <w:rFonts w:eastAsia="Calibri"/>
                <w:noProof/>
              </w:rPr>
              <w:t>Extra artikel kwaliteitssysteem</w:t>
            </w:r>
            <w:r w:rsidR="00153071">
              <w:rPr>
                <w:noProof/>
                <w:webHidden/>
              </w:rPr>
              <w:tab/>
            </w:r>
            <w:r w:rsidR="00153071">
              <w:rPr>
                <w:noProof/>
                <w:webHidden/>
              </w:rPr>
              <w:fldChar w:fldCharType="begin"/>
            </w:r>
            <w:r w:rsidR="00153071">
              <w:rPr>
                <w:noProof/>
                <w:webHidden/>
              </w:rPr>
              <w:instrText xml:space="preserve"> PAGEREF _Toc184735468 \h </w:instrText>
            </w:r>
            <w:r w:rsidR="00153071">
              <w:rPr>
                <w:noProof/>
                <w:webHidden/>
              </w:rPr>
            </w:r>
            <w:r w:rsidR="00153071">
              <w:rPr>
                <w:noProof/>
                <w:webHidden/>
              </w:rPr>
              <w:fldChar w:fldCharType="separate"/>
            </w:r>
            <w:r w:rsidR="00153071">
              <w:rPr>
                <w:noProof/>
                <w:webHidden/>
              </w:rPr>
              <w:t>5</w:t>
            </w:r>
            <w:r w:rsidR="00153071">
              <w:rPr>
                <w:noProof/>
                <w:webHidden/>
              </w:rPr>
              <w:fldChar w:fldCharType="end"/>
            </w:r>
          </w:hyperlink>
        </w:p>
        <w:p w14:paraId="1CF6B60E" w14:textId="73A3EFFF" w:rsidR="00153071" w:rsidRDefault="00DF7C2E">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69" w:history="1">
            <w:r w:rsidR="00153071" w:rsidRPr="00935994">
              <w:rPr>
                <w:rStyle w:val="Hyperlink"/>
                <w:rFonts w:eastAsia="Times New Roman"/>
                <w:noProof/>
              </w:rPr>
              <w:t>Extra artikel ernstige beroepsfout en Bibob</w:t>
            </w:r>
            <w:r w:rsidR="00153071">
              <w:rPr>
                <w:noProof/>
                <w:webHidden/>
              </w:rPr>
              <w:tab/>
            </w:r>
            <w:r w:rsidR="00153071">
              <w:rPr>
                <w:noProof/>
                <w:webHidden/>
              </w:rPr>
              <w:fldChar w:fldCharType="begin"/>
            </w:r>
            <w:r w:rsidR="00153071">
              <w:rPr>
                <w:noProof/>
                <w:webHidden/>
              </w:rPr>
              <w:instrText xml:space="preserve"> PAGEREF _Toc184735469 \h </w:instrText>
            </w:r>
            <w:r w:rsidR="00153071">
              <w:rPr>
                <w:noProof/>
                <w:webHidden/>
              </w:rPr>
            </w:r>
            <w:r w:rsidR="00153071">
              <w:rPr>
                <w:noProof/>
                <w:webHidden/>
              </w:rPr>
              <w:fldChar w:fldCharType="separate"/>
            </w:r>
            <w:r w:rsidR="00153071">
              <w:rPr>
                <w:noProof/>
                <w:webHidden/>
              </w:rPr>
              <w:t>6</w:t>
            </w:r>
            <w:r w:rsidR="00153071">
              <w:rPr>
                <w:noProof/>
                <w:webHidden/>
              </w:rPr>
              <w:fldChar w:fldCharType="end"/>
            </w:r>
          </w:hyperlink>
        </w:p>
        <w:p w14:paraId="3FB2E731" w14:textId="0217CC0A" w:rsidR="00153071" w:rsidRDefault="00DF7C2E">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70" w:history="1">
            <w:r w:rsidR="00153071" w:rsidRPr="00935994">
              <w:rPr>
                <w:rStyle w:val="Hyperlink"/>
                <w:rFonts w:eastAsia="Times New Roman"/>
                <w:noProof/>
              </w:rPr>
              <w:t>Extra artikel overdracht bij einde overeenkomst</w:t>
            </w:r>
            <w:r w:rsidR="00153071">
              <w:rPr>
                <w:noProof/>
                <w:webHidden/>
              </w:rPr>
              <w:tab/>
            </w:r>
            <w:r w:rsidR="00153071">
              <w:rPr>
                <w:noProof/>
                <w:webHidden/>
              </w:rPr>
              <w:fldChar w:fldCharType="begin"/>
            </w:r>
            <w:r w:rsidR="00153071">
              <w:rPr>
                <w:noProof/>
                <w:webHidden/>
              </w:rPr>
              <w:instrText xml:space="preserve"> PAGEREF _Toc184735470 \h </w:instrText>
            </w:r>
            <w:r w:rsidR="00153071">
              <w:rPr>
                <w:noProof/>
                <w:webHidden/>
              </w:rPr>
            </w:r>
            <w:r w:rsidR="00153071">
              <w:rPr>
                <w:noProof/>
                <w:webHidden/>
              </w:rPr>
              <w:fldChar w:fldCharType="separate"/>
            </w:r>
            <w:r w:rsidR="00153071">
              <w:rPr>
                <w:noProof/>
                <w:webHidden/>
              </w:rPr>
              <w:t>6</w:t>
            </w:r>
            <w:r w:rsidR="00153071">
              <w:rPr>
                <w:noProof/>
                <w:webHidden/>
              </w:rPr>
              <w:fldChar w:fldCharType="end"/>
            </w:r>
          </w:hyperlink>
        </w:p>
        <w:p w14:paraId="4D5C0DCE" w14:textId="6DABD468" w:rsidR="00153071" w:rsidRDefault="00DF7C2E">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71" w:history="1">
            <w:r w:rsidR="00153071" w:rsidRPr="00935994">
              <w:rPr>
                <w:rStyle w:val="Hyperlink"/>
                <w:rFonts w:eastAsia="Calibri"/>
                <w:noProof/>
              </w:rPr>
              <w:t>Specificatie artikel Herzieningsclausules</w:t>
            </w:r>
            <w:r w:rsidR="00153071">
              <w:rPr>
                <w:noProof/>
                <w:webHidden/>
              </w:rPr>
              <w:tab/>
            </w:r>
            <w:r w:rsidR="00153071">
              <w:rPr>
                <w:noProof/>
                <w:webHidden/>
              </w:rPr>
              <w:fldChar w:fldCharType="begin"/>
            </w:r>
            <w:r w:rsidR="00153071">
              <w:rPr>
                <w:noProof/>
                <w:webHidden/>
              </w:rPr>
              <w:instrText xml:space="preserve"> PAGEREF _Toc184735471 \h </w:instrText>
            </w:r>
            <w:r w:rsidR="00153071">
              <w:rPr>
                <w:noProof/>
                <w:webHidden/>
              </w:rPr>
            </w:r>
            <w:r w:rsidR="00153071">
              <w:rPr>
                <w:noProof/>
                <w:webHidden/>
              </w:rPr>
              <w:fldChar w:fldCharType="separate"/>
            </w:r>
            <w:r w:rsidR="00153071">
              <w:rPr>
                <w:noProof/>
                <w:webHidden/>
              </w:rPr>
              <w:t>7</w:t>
            </w:r>
            <w:r w:rsidR="00153071">
              <w:rPr>
                <w:noProof/>
                <w:webHidden/>
              </w:rPr>
              <w:fldChar w:fldCharType="end"/>
            </w:r>
          </w:hyperlink>
        </w:p>
        <w:p w14:paraId="5F8A6ADB" w14:textId="4883A57E" w:rsidR="00153071" w:rsidRDefault="00DF7C2E">
          <w:pPr>
            <w:pStyle w:val="Inhopg2"/>
            <w:tabs>
              <w:tab w:val="right" w:leader="dot" w:pos="9062"/>
            </w:tabs>
            <w:rPr>
              <w:rFonts w:asciiTheme="minorHAnsi" w:eastAsiaTheme="minorEastAsia" w:hAnsiTheme="minorHAnsi"/>
              <w:noProof/>
              <w:kern w:val="2"/>
              <w:sz w:val="24"/>
              <w:szCs w:val="24"/>
              <w:lang w:eastAsia="nl-NL"/>
              <w14:ligatures w14:val="standardContextual"/>
            </w:rPr>
          </w:pPr>
          <w:hyperlink w:anchor="_Toc184735472" w:history="1">
            <w:r w:rsidR="00153071" w:rsidRPr="00935994">
              <w:rPr>
                <w:rStyle w:val="Hyperlink"/>
                <w:noProof/>
              </w:rPr>
              <w:t>Vervallen artikelen</w:t>
            </w:r>
            <w:r w:rsidR="00153071">
              <w:rPr>
                <w:noProof/>
                <w:webHidden/>
              </w:rPr>
              <w:tab/>
            </w:r>
            <w:r w:rsidR="00153071">
              <w:rPr>
                <w:noProof/>
                <w:webHidden/>
              </w:rPr>
              <w:fldChar w:fldCharType="begin"/>
            </w:r>
            <w:r w:rsidR="00153071">
              <w:rPr>
                <w:noProof/>
                <w:webHidden/>
              </w:rPr>
              <w:instrText xml:space="preserve"> PAGEREF _Toc184735472 \h </w:instrText>
            </w:r>
            <w:r w:rsidR="00153071">
              <w:rPr>
                <w:noProof/>
                <w:webHidden/>
              </w:rPr>
            </w:r>
            <w:r w:rsidR="00153071">
              <w:rPr>
                <w:noProof/>
                <w:webHidden/>
              </w:rPr>
              <w:fldChar w:fldCharType="separate"/>
            </w:r>
            <w:r w:rsidR="00153071">
              <w:rPr>
                <w:noProof/>
                <w:webHidden/>
              </w:rPr>
              <w:t>8</w:t>
            </w:r>
            <w:r w:rsidR="00153071">
              <w:rPr>
                <w:noProof/>
                <w:webHidden/>
              </w:rPr>
              <w:fldChar w:fldCharType="end"/>
            </w:r>
          </w:hyperlink>
        </w:p>
        <w:p w14:paraId="34E38FF1" w14:textId="5C323749" w:rsidR="009628B1" w:rsidRDefault="009628B1">
          <w:r>
            <w:rPr>
              <w:b/>
              <w:bCs/>
            </w:rPr>
            <w:fldChar w:fldCharType="end"/>
          </w:r>
        </w:p>
      </w:sdtContent>
    </w:sdt>
    <w:p w14:paraId="0CAFAB90" w14:textId="77777777" w:rsidR="009628B1" w:rsidRDefault="009628B1" w:rsidP="00DD3EBB">
      <w:pPr>
        <w:pStyle w:val="Geenafstand"/>
      </w:pPr>
    </w:p>
    <w:p w14:paraId="4CCA7D39" w14:textId="77777777" w:rsidR="009628B1" w:rsidRDefault="009628B1" w:rsidP="00DD3EBB">
      <w:pPr>
        <w:pStyle w:val="Geenafstand"/>
      </w:pPr>
    </w:p>
    <w:p w14:paraId="690D1F98" w14:textId="77777777" w:rsidR="00A173D1" w:rsidRDefault="00A173D1" w:rsidP="00DD3EBB">
      <w:pPr>
        <w:pStyle w:val="Geenafstand"/>
      </w:pPr>
    </w:p>
    <w:p w14:paraId="123B69E5" w14:textId="77777777" w:rsidR="00A173D1" w:rsidRDefault="00A173D1" w:rsidP="00DD3EBB">
      <w:pPr>
        <w:pStyle w:val="Geenafstand"/>
      </w:pPr>
    </w:p>
    <w:p w14:paraId="78C6E4C2" w14:textId="77777777" w:rsidR="00A173D1" w:rsidRDefault="00A173D1" w:rsidP="00DD3EBB">
      <w:pPr>
        <w:pStyle w:val="Geenafstand"/>
      </w:pPr>
    </w:p>
    <w:p w14:paraId="7C3CCE1D" w14:textId="77777777" w:rsidR="00A173D1" w:rsidRDefault="00A173D1" w:rsidP="00DD3EBB">
      <w:pPr>
        <w:pStyle w:val="Geenafstand"/>
      </w:pPr>
    </w:p>
    <w:p w14:paraId="23CA57D9" w14:textId="77777777" w:rsidR="00A173D1" w:rsidRDefault="00A173D1" w:rsidP="00DD3EBB">
      <w:pPr>
        <w:pStyle w:val="Geenafstand"/>
      </w:pPr>
    </w:p>
    <w:p w14:paraId="1B10F446" w14:textId="77777777" w:rsidR="00A173D1" w:rsidRDefault="00A173D1" w:rsidP="00DD3EBB">
      <w:pPr>
        <w:pStyle w:val="Geenafstand"/>
      </w:pPr>
    </w:p>
    <w:p w14:paraId="339740CF" w14:textId="77777777" w:rsidR="00A173D1" w:rsidRPr="009628B1" w:rsidRDefault="00A173D1" w:rsidP="00DD3EBB">
      <w:pPr>
        <w:pStyle w:val="Geenafstand"/>
      </w:pPr>
    </w:p>
    <w:p w14:paraId="2BBE8F17" w14:textId="77777777" w:rsidR="00A20803" w:rsidRPr="009628B1" w:rsidRDefault="00A20803" w:rsidP="000E4E1A">
      <w:pPr>
        <w:pStyle w:val="Geenafstand"/>
      </w:pPr>
    </w:p>
    <w:p w14:paraId="44056E84" w14:textId="428666D0" w:rsidR="00DD3EBB" w:rsidRPr="009628B1" w:rsidRDefault="00DD3EBB" w:rsidP="009628B1">
      <w:pPr>
        <w:pStyle w:val="Kop2"/>
      </w:pPr>
      <w:bookmarkStart w:id="0" w:name="_Toc184735461"/>
      <w:r w:rsidRPr="009628B1">
        <w:t>Definitie</w:t>
      </w:r>
      <w:r w:rsidR="009628B1" w:rsidRPr="009628B1">
        <w:t xml:space="preserve"> ernstige beroepsfout</w:t>
      </w:r>
      <w:bookmarkEnd w:id="0"/>
    </w:p>
    <w:p w14:paraId="34204F15" w14:textId="20091038" w:rsidR="00DD3EBB" w:rsidRPr="009628B1" w:rsidRDefault="00DD3EBB" w:rsidP="000E4E1A">
      <w:pPr>
        <w:pStyle w:val="Geenafstand"/>
      </w:pPr>
      <w:r w:rsidRPr="009628B1">
        <w:t xml:space="preserve">In de overeenkomst is het begrip ‘ernstige beroepsfout’ aanvullend, en als volgt, gedefinieerd:  </w:t>
      </w:r>
    </w:p>
    <w:p w14:paraId="4EA698FF" w14:textId="77777777" w:rsidR="00DD3EBB" w:rsidRPr="009628B1" w:rsidRDefault="00DD3EBB" w:rsidP="000E4E1A">
      <w:pPr>
        <w:pStyle w:val="Geenafstand"/>
      </w:pPr>
    </w:p>
    <w:p w14:paraId="473D488A" w14:textId="77777777" w:rsidR="00DD3EBB" w:rsidRPr="009628B1" w:rsidRDefault="00DD3EBB" w:rsidP="00DD3EBB">
      <w:pPr>
        <w:pStyle w:val="Geenafstand"/>
      </w:pPr>
      <w:r w:rsidRPr="009628B1">
        <w:t xml:space="preserve">Ernstige beroepsfout: Het begrip “ernstige fout in de uitoefening van het beroep” ofwel ernstige beroepsfout betekent: </w:t>
      </w:r>
    </w:p>
    <w:p w14:paraId="7AE34ACD" w14:textId="7CB9A337" w:rsidR="00DD3EBB" w:rsidRPr="009628B1" w:rsidRDefault="00DD3EBB" w:rsidP="00DD3EBB">
      <w:pPr>
        <w:pStyle w:val="Geenafstand"/>
        <w:numPr>
          <w:ilvl w:val="0"/>
          <w:numId w:val="4"/>
        </w:numPr>
      </w:pPr>
      <w:r w:rsidRPr="009628B1">
        <w:t>kwade opzet of nalatigheid van een zekere ernst met betrekking tot het:</w:t>
      </w:r>
    </w:p>
    <w:p w14:paraId="355E4799" w14:textId="77777777" w:rsidR="00DD3EBB" w:rsidRPr="009628B1" w:rsidRDefault="00DD3EBB" w:rsidP="00DD3EBB">
      <w:pPr>
        <w:pStyle w:val="Geenafstand"/>
        <w:numPr>
          <w:ilvl w:val="1"/>
          <w:numId w:val="4"/>
        </w:numPr>
      </w:pPr>
      <w:r w:rsidRPr="009628B1">
        <w:t xml:space="preserve">doen van een gift of belofte of het aanbieden van een dienst, indien redelijkerwijs kan worden aangenomen dat daarmee wordt beoogd iemand iets te laten doen wat in strijd is met zijn plicht; </w:t>
      </w:r>
    </w:p>
    <w:p w14:paraId="321C76D1" w14:textId="77777777" w:rsidR="00DD3EBB" w:rsidRPr="009628B1" w:rsidRDefault="00DD3EBB" w:rsidP="00DD3EBB">
      <w:pPr>
        <w:pStyle w:val="Geenafstand"/>
        <w:numPr>
          <w:ilvl w:val="1"/>
          <w:numId w:val="4"/>
        </w:numPr>
      </w:pPr>
      <w:r w:rsidRPr="009628B1">
        <w:t xml:space="preserve">vervalsen of valselijk opmaken van een geschrift dat bestemd is om tot bewijs van enig feit te dienen; </w:t>
      </w:r>
    </w:p>
    <w:p w14:paraId="7224698A" w14:textId="77777777" w:rsidR="00DD3EBB" w:rsidRPr="009628B1" w:rsidRDefault="00DD3EBB" w:rsidP="00DD3EBB">
      <w:pPr>
        <w:pStyle w:val="Geenafstand"/>
        <w:numPr>
          <w:ilvl w:val="1"/>
          <w:numId w:val="4"/>
        </w:numPr>
      </w:pPr>
      <w:r w:rsidRPr="009628B1">
        <w:t xml:space="preserve">verstrekken van onjuiste gegevens of het ten onrechte niet verstrekken van juiste gegevens, indien redelijkerwijs kan worden aangenomen dat daarmee wordt beoogd financieel voordeel te behalen; </w:t>
      </w:r>
    </w:p>
    <w:p w14:paraId="7946D3A5" w14:textId="77777777" w:rsidR="00DD3EBB" w:rsidRPr="009628B1" w:rsidRDefault="00DD3EBB" w:rsidP="00DD3EBB">
      <w:pPr>
        <w:pStyle w:val="Geenafstand"/>
        <w:numPr>
          <w:ilvl w:val="1"/>
          <w:numId w:val="4"/>
        </w:numPr>
      </w:pPr>
      <w:r w:rsidRPr="009628B1">
        <w:t xml:space="preserve">handelen of nalaten te handelen waardoor de integriteit van werknemers of andere personen ernstig in gevaar wordt gebracht, waaronder begrepen (arbeids)discriminatie; </w:t>
      </w:r>
    </w:p>
    <w:p w14:paraId="158304CB" w14:textId="77777777" w:rsidR="00DD3EBB" w:rsidRPr="009628B1" w:rsidRDefault="00DD3EBB" w:rsidP="00DD3EBB">
      <w:pPr>
        <w:pStyle w:val="Geenafstand"/>
        <w:numPr>
          <w:ilvl w:val="1"/>
          <w:numId w:val="4"/>
        </w:numPr>
      </w:pPr>
      <w:r w:rsidRPr="009628B1">
        <w:t xml:space="preserve">direct of indirect gebruikmaken van in de Europese Unie verboden vormen van kinderarbeid; </w:t>
      </w:r>
    </w:p>
    <w:p w14:paraId="1D4251C5" w14:textId="77777777" w:rsidR="00DD3EBB" w:rsidRPr="009628B1" w:rsidRDefault="00DD3EBB" w:rsidP="00DD3EBB">
      <w:pPr>
        <w:pStyle w:val="Geenafstand"/>
        <w:numPr>
          <w:ilvl w:val="1"/>
          <w:numId w:val="4"/>
        </w:numPr>
      </w:pPr>
      <w:r w:rsidRPr="009628B1">
        <w:t xml:space="preserve">begaan van overtredingen op het gebied van milieuwetgeving; </w:t>
      </w:r>
    </w:p>
    <w:p w14:paraId="62418B8C" w14:textId="77777777" w:rsidR="00DD3EBB" w:rsidRPr="009628B1" w:rsidRDefault="00DD3EBB" w:rsidP="00DD3EBB">
      <w:pPr>
        <w:pStyle w:val="Geenafstand"/>
        <w:numPr>
          <w:ilvl w:val="1"/>
          <w:numId w:val="4"/>
        </w:numPr>
      </w:pPr>
      <w:r w:rsidRPr="009628B1">
        <w:t xml:space="preserve">handelen in strijd met door de daartoe bevoegde autoriteit vastgestelde import-, export-, aankoop-, vervoers- en/of investeringsverboden; </w:t>
      </w:r>
    </w:p>
    <w:p w14:paraId="34F4C68A" w14:textId="77777777" w:rsidR="00DD3EBB" w:rsidRPr="009628B1" w:rsidRDefault="00DD3EBB" w:rsidP="00DD3EBB">
      <w:pPr>
        <w:pStyle w:val="Geenafstand"/>
        <w:numPr>
          <w:ilvl w:val="1"/>
          <w:numId w:val="4"/>
        </w:numPr>
      </w:pPr>
      <w:r w:rsidRPr="009628B1">
        <w:t xml:space="preserve">maken van afspraken met andere Aanbieders of het begaan van feitelijke gedragingen die ertoe strekken of ten gevolge hebben dat mededinging verhinderd, beperkt of vervalst wordt of het anderszins handelen in strijd met mededingingsregelgeving; </w:t>
      </w:r>
    </w:p>
    <w:p w14:paraId="6EF072F2" w14:textId="77777777" w:rsidR="00DD3EBB" w:rsidRPr="009628B1" w:rsidRDefault="00DD3EBB" w:rsidP="00DD3EBB">
      <w:pPr>
        <w:pStyle w:val="Geenafstand"/>
        <w:numPr>
          <w:ilvl w:val="1"/>
          <w:numId w:val="4"/>
        </w:numPr>
      </w:pPr>
      <w:r w:rsidRPr="009628B1">
        <w:t xml:space="preserve">onrechtmatig handelen of tekortkomen in de nakoming van de overeenkomst waaruit ernstige schade voortvloeit, als gevolg van grove nalatigheid, opzet of bewuste roekeloosheid; </w:t>
      </w:r>
    </w:p>
    <w:p w14:paraId="655484D3" w14:textId="77777777" w:rsidR="00DD3EBB" w:rsidRPr="009628B1" w:rsidRDefault="00DD3EBB" w:rsidP="00DD3EBB">
      <w:pPr>
        <w:pStyle w:val="Geenafstand"/>
        <w:numPr>
          <w:ilvl w:val="1"/>
          <w:numId w:val="4"/>
        </w:numPr>
      </w:pPr>
      <w:r w:rsidRPr="009628B1">
        <w:t xml:space="preserve">het begaan van gedragingen in strijd met specifiek voor het beroep of bedrijf van een inschrijver relevante wet- en regelgeving, tuchtregels, toezichtregels, gedragsregels of gedragscodes; </w:t>
      </w:r>
    </w:p>
    <w:p w14:paraId="0BAC1B1D" w14:textId="77777777" w:rsidR="00DD3EBB" w:rsidRPr="009628B1" w:rsidRDefault="00DD3EBB" w:rsidP="00DD3EBB">
      <w:pPr>
        <w:pStyle w:val="Geenafstand"/>
        <w:numPr>
          <w:ilvl w:val="1"/>
          <w:numId w:val="4"/>
        </w:numPr>
      </w:pPr>
      <w:r w:rsidRPr="009628B1">
        <w:t xml:space="preserve">het verrichten van werkzaamheden die in strijd zijn met de openbare orde; </w:t>
      </w:r>
    </w:p>
    <w:p w14:paraId="7A2EDDAA" w14:textId="77777777" w:rsidR="00DD3EBB" w:rsidRPr="009628B1" w:rsidRDefault="00DD3EBB" w:rsidP="00DD3EBB">
      <w:pPr>
        <w:pStyle w:val="Geenafstand"/>
        <w:numPr>
          <w:ilvl w:val="1"/>
          <w:numId w:val="4"/>
        </w:numPr>
      </w:pPr>
      <w:r w:rsidRPr="009628B1">
        <w:t>een delict zoals genoemd in art. 2.86 lid 2 AW 2012 zonder dat dit (al) heeft geleid tot een (onherroepelijke) veroordeling;</w:t>
      </w:r>
    </w:p>
    <w:p w14:paraId="35EE02C0" w14:textId="77777777" w:rsidR="00DD3EBB" w:rsidRPr="009628B1" w:rsidRDefault="00DD3EBB" w:rsidP="00DD3EBB">
      <w:pPr>
        <w:pStyle w:val="Geenafstand"/>
        <w:numPr>
          <w:ilvl w:val="1"/>
          <w:numId w:val="4"/>
        </w:numPr>
      </w:pPr>
      <w:r w:rsidRPr="009628B1">
        <w:t xml:space="preserve">alle andere delicten en gedragingen of omstandigheden die naar hun aard zijn aan te merken als ernstige fout in de uitoefening van het beroep’. </w:t>
      </w:r>
    </w:p>
    <w:p w14:paraId="69E1FC0A" w14:textId="77777777" w:rsidR="00DD3EBB" w:rsidRPr="009628B1" w:rsidRDefault="00DD3EBB" w:rsidP="00DD3EBB">
      <w:pPr>
        <w:pStyle w:val="Geenafstand"/>
        <w:numPr>
          <w:ilvl w:val="0"/>
          <w:numId w:val="4"/>
        </w:numPr>
      </w:pPr>
      <w:r w:rsidRPr="009628B1">
        <w:t>het aanwezig zijn van enige mate van gevaar dat de op grond van deze Inkoopprocedure gesloten overeenkomst door de inschrijver mede zal worden gebruikt om (i) uit gepleegde strafbare feiten verkregen of te verkrijgen, op geld waardeerbare voordelen te benutten, of (ii) strafbare feiten te plegen.</w:t>
      </w:r>
    </w:p>
    <w:p w14:paraId="0D291100" w14:textId="77777777" w:rsidR="00DD3EBB" w:rsidRPr="009628B1" w:rsidRDefault="00DD3EBB" w:rsidP="00DD3EBB">
      <w:pPr>
        <w:pStyle w:val="Geenafstand"/>
        <w:numPr>
          <w:ilvl w:val="0"/>
          <w:numId w:val="4"/>
        </w:numPr>
      </w:pPr>
      <w:r w:rsidRPr="009628B1">
        <w:t>Het bovenstaande geldt niet enkel ten aanzien van de inschrijver, maar ook voor:</w:t>
      </w:r>
    </w:p>
    <w:p w14:paraId="5F02DF3A" w14:textId="77777777" w:rsidR="00DD3EBB" w:rsidRPr="009628B1" w:rsidRDefault="00DD3EBB" w:rsidP="00DD3EBB">
      <w:pPr>
        <w:pStyle w:val="Geenafstand"/>
        <w:numPr>
          <w:ilvl w:val="1"/>
          <w:numId w:val="4"/>
        </w:numPr>
      </w:pPr>
      <w:r w:rsidRPr="009628B1">
        <w:t xml:space="preserve">een persoon die lid is of (bijvoorbeeld) in het jaar voorafgaand aan inschrijving lid is geweest van het bestuurs-, leidinggevend of toezichthoudend orgaan. </w:t>
      </w:r>
    </w:p>
    <w:p w14:paraId="40B827D5" w14:textId="6BC77C92" w:rsidR="00DD3EBB" w:rsidRPr="009628B1" w:rsidRDefault="00DD3EBB" w:rsidP="00DD3EBB">
      <w:pPr>
        <w:pStyle w:val="Geenafstand"/>
        <w:numPr>
          <w:ilvl w:val="1"/>
          <w:numId w:val="4"/>
        </w:numPr>
      </w:pPr>
      <w:r w:rsidRPr="009628B1">
        <w:t>een persoon die lid is of (bijvoorbeeld) in het jaar voorafgaand aan inschrijving lid is geweest van het bestuurs-, leidinggevend of toezichthoudend orgaan heeft (bijvoorbeeld) in het jaar voorafgaand aan inschrijving een bestuurs-, leidinggevende  of toezichthoudende functie gehad bij een aanbieder die (inmiddels) in staat van faillissement, liquidatie of surseance verkeert, waarvan de werkzaamheden zijn gestaakt of in een andere vergelijkbare staat verkeert.</w:t>
      </w:r>
    </w:p>
    <w:p w14:paraId="045511F0" w14:textId="5A9CA4DD" w:rsidR="00DD3EBB" w:rsidRPr="009628B1" w:rsidRDefault="009628B1" w:rsidP="009628B1">
      <w:pPr>
        <w:pStyle w:val="Kop2"/>
      </w:pPr>
      <w:r>
        <w:br/>
      </w:r>
      <w:bookmarkStart w:id="1" w:name="_Toc184735462"/>
      <w:r>
        <w:t>Definitie l</w:t>
      </w:r>
      <w:r w:rsidR="00DD3EBB" w:rsidRPr="009628B1">
        <w:t>ooptijd overeenkomst</w:t>
      </w:r>
      <w:bookmarkEnd w:id="1"/>
    </w:p>
    <w:p w14:paraId="0865FC94" w14:textId="2EFB8A98" w:rsidR="00DD3EBB" w:rsidRPr="009628B1" w:rsidRDefault="00DD3EBB" w:rsidP="00DD3EBB">
      <w:pPr>
        <w:pStyle w:val="Geenafstand"/>
      </w:pPr>
      <w:r w:rsidRPr="009628B1">
        <w:t xml:space="preserve">Initiële looptijd 1-1-2025 en loopt tot 31-12-2028. </w:t>
      </w:r>
    </w:p>
    <w:p w14:paraId="4B97806C" w14:textId="46115CFE" w:rsidR="00DD3EBB" w:rsidRDefault="00DD3EBB" w:rsidP="00DD3EBB">
      <w:pPr>
        <w:pStyle w:val="Geenafstand"/>
      </w:pPr>
      <w:r w:rsidRPr="009628B1">
        <w:t xml:space="preserve">Verlengingsmogelijkheden: 3 maal 36 kalendermaanden. </w:t>
      </w:r>
    </w:p>
    <w:p w14:paraId="08DEB7BD" w14:textId="77777777" w:rsidR="00153071" w:rsidRDefault="00153071" w:rsidP="00DD3EBB">
      <w:pPr>
        <w:pStyle w:val="Geenafstand"/>
      </w:pPr>
    </w:p>
    <w:p w14:paraId="7E5FBBAA" w14:textId="72EEEB52" w:rsidR="00153071" w:rsidRDefault="00153071" w:rsidP="00153071">
      <w:pPr>
        <w:pStyle w:val="Kop2"/>
      </w:pPr>
      <w:bookmarkStart w:id="2" w:name="_Toc184735463"/>
      <w:r>
        <w:t>Definitie gecontracteerde producten</w:t>
      </w:r>
      <w:bookmarkEnd w:id="2"/>
      <w:r>
        <w:t xml:space="preserve"> </w:t>
      </w:r>
    </w:p>
    <w:p w14:paraId="26E9D114" w14:textId="3A9A9846" w:rsidR="00153071" w:rsidRDefault="00153071" w:rsidP="00DD3EBB">
      <w:pPr>
        <w:pStyle w:val="Geenafstand"/>
      </w:pPr>
      <w:r>
        <w:t xml:space="preserve">Per aanbieder zijn de gecontracteerde producten nader gedefinieerd. Deze zijn opgenomen in de originele ondertekende overeenkomst. </w:t>
      </w:r>
    </w:p>
    <w:p w14:paraId="63AEC537" w14:textId="77777777" w:rsidR="00153071" w:rsidRPr="009628B1" w:rsidRDefault="00153071" w:rsidP="00DD3EBB">
      <w:pPr>
        <w:pStyle w:val="Geenafstand"/>
      </w:pPr>
    </w:p>
    <w:p w14:paraId="5D40FD09" w14:textId="566C7CDD" w:rsidR="00DD3EBB" w:rsidRPr="009628B1" w:rsidRDefault="00DD3EBB" w:rsidP="00DD3EBB">
      <w:pPr>
        <w:pStyle w:val="Geenafstand"/>
      </w:pPr>
    </w:p>
    <w:p w14:paraId="7BB6C4D5" w14:textId="26C42CAC" w:rsidR="00DD3EBB" w:rsidRPr="009628B1" w:rsidRDefault="009628B1" w:rsidP="009628B1">
      <w:pPr>
        <w:pStyle w:val="Kop2"/>
      </w:pPr>
      <w:bookmarkStart w:id="3" w:name="_Toc184735464"/>
      <w:r>
        <w:lastRenderedPageBreak/>
        <w:t>Extra artikelen s</w:t>
      </w:r>
      <w:r w:rsidRPr="009628B1">
        <w:t>ignaalplafonds</w:t>
      </w:r>
      <w:bookmarkEnd w:id="3"/>
    </w:p>
    <w:p w14:paraId="09612C71" w14:textId="77777777" w:rsidR="009628B1" w:rsidRPr="009628B1" w:rsidRDefault="009628B1" w:rsidP="000E4E1A">
      <w:pPr>
        <w:pStyle w:val="Geenafstand"/>
      </w:pPr>
    </w:p>
    <w:p w14:paraId="3BE7F245" w14:textId="77777777" w:rsidR="009628B1" w:rsidRPr="009628B1" w:rsidRDefault="009628B1" w:rsidP="00577866">
      <w:pPr>
        <w:pStyle w:val="Geenafstand"/>
        <w:rPr>
          <w:b/>
          <w:bCs/>
        </w:rPr>
      </w:pPr>
      <w:bookmarkStart w:id="4" w:name="_Toc178326089"/>
      <w:r w:rsidRPr="009628B1">
        <w:rPr>
          <w:b/>
          <w:bCs/>
        </w:rPr>
        <w:t>Art. 1J Signaalplafonds lid 1</w:t>
      </w:r>
      <w:bookmarkEnd w:id="4"/>
      <w:r w:rsidRPr="009628B1">
        <w:rPr>
          <w:b/>
          <w:bCs/>
        </w:rPr>
        <w:t xml:space="preserve"> </w:t>
      </w:r>
    </w:p>
    <w:p w14:paraId="39BC59DB" w14:textId="77777777" w:rsidR="009628B1" w:rsidRPr="009628B1" w:rsidRDefault="009628B1" w:rsidP="00577866">
      <w:pPr>
        <w:pStyle w:val="Geenafstand"/>
        <w:rPr>
          <w:b/>
          <w:bCs/>
        </w:rPr>
      </w:pPr>
      <w:bookmarkStart w:id="5" w:name="_Toc178326090"/>
      <w:r w:rsidRPr="009628B1">
        <w:rPr>
          <w:b/>
          <w:bCs/>
        </w:rPr>
        <w:t>Art. 1J Signaalplafonds lid 1 sub a</w:t>
      </w:r>
      <w:bookmarkEnd w:id="5"/>
    </w:p>
    <w:p w14:paraId="09D00B1E" w14:textId="77777777" w:rsidR="009628B1" w:rsidRPr="009628B1" w:rsidRDefault="009628B1" w:rsidP="009628B1">
      <w:pPr>
        <w:tabs>
          <w:tab w:val="left" w:pos="284"/>
          <w:tab w:val="left" w:pos="567"/>
        </w:tabs>
        <w:spacing w:after="0" w:line="320" w:lineRule="atLeast"/>
        <w:rPr>
          <w:rFonts w:eastAsia="Calibri" w:cs="Times New Roman"/>
        </w:rPr>
      </w:pPr>
      <w:r w:rsidRPr="009628B1">
        <w:rPr>
          <w:rFonts w:eastAsia="Calibri" w:cs="Times New Roman"/>
        </w:rPr>
        <w:t>Signaalplafond: definitie, periodiciteit, uitvoeringsvarianten, hoogte, tussentijds instellen, schriftelijk.</w:t>
      </w:r>
    </w:p>
    <w:p w14:paraId="0D47283D" w14:textId="77777777" w:rsidR="009628B1" w:rsidRPr="009628B1" w:rsidRDefault="009628B1" w:rsidP="009628B1">
      <w:pPr>
        <w:tabs>
          <w:tab w:val="left" w:pos="2268"/>
        </w:tabs>
        <w:spacing w:after="0" w:line="280" w:lineRule="atLeast"/>
        <w:ind w:left="1080"/>
        <w:rPr>
          <w:rFonts w:eastAsia="Calibri" w:cs="Times New Roman"/>
        </w:rPr>
      </w:pPr>
    </w:p>
    <w:p w14:paraId="7DDF5152" w14:textId="77777777" w:rsidR="009628B1" w:rsidRPr="009628B1" w:rsidRDefault="009628B1" w:rsidP="009628B1">
      <w:pPr>
        <w:numPr>
          <w:ilvl w:val="0"/>
          <w:numId w:val="5"/>
        </w:numPr>
        <w:spacing w:after="0" w:line="280" w:lineRule="atLeast"/>
        <w:contextualSpacing/>
        <w:rPr>
          <w:rFonts w:eastAsia="Calibri" w:cs="Arial"/>
        </w:rPr>
      </w:pPr>
      <w:r w:rsidRPr="009628B1">
        <w:rPr>
          <w:rFonts w:eastAsia="Calibri" w:cs="Arial"/>
        </w:rPr>
        <w:t>Signaalplafond is het maximale bedrag waarbinnen de Jeugdhulpaanbieder alle jeugdhulp voor rekening van de Gemeente probeert te leveren.</w:t>
      </w:r>
    </w:p>
    <w:p w14:paraId="7B3FBA96" w14:textId="77777777" w:rsidR="009628B1" w:rsidRPr="009628B1" w:rsidRDefault="009628B1" w:rsidP="009628B1">
      <w:pPr>
        <w:numPr>
          <w:ilvl w:val="0"/>
          <w:numId w:val="5"/>
        </w:numPr>
        <w:spacing w:after="0" w:line="280" w:lineRule="atLeast"/>
        <w:contextualSpacing/>
        <w:rPr>
          <w:rFonts w:eastAsia="Calibri" w:cs="Arial"/>
        </w:rPr>
      </w:pPr>
      <w:r w:rsidRPr="009628B1">
        <w:rPr>
          <w:rFonts w:eastAsia="Calibri" w:cs="Arial"/>
        </w:rPr>
        <w:t>Het signaalplafond kan uitsluitend worden toegepast bij de inspanningsgerichte uitvoeringsvariant.</w:t>
      </w:r>
    </w:p>
    <w:p w14:paraId="56E5F9D0" w14:textId="77777777" w:rsidR="009628B1" w:rsidRPr="009628B1" w:rsidRDefault="009628B1" w:rsidP="009628B1">
      <w:pPr>
        <w:numPr>
          <w:ilvl w:val="0"/>
          <w:numId w:val="5"/>
        </w:numPr>
        <w:spacing w:after="0" w:line="280" w:lineRule="atLeast"/>
        <w:contextualSpacing/>
        <w:rPr>
          <w:rFonts w:eastAsia="Calibri" w:cs="Arial"/>
        </w:rPr>
      </w:pPr>
      <w:r w:rsidRPr="009628B1">
        <w:rPr>
          <w:rFonts w:eastAsia="Calibri" w:cs="Arial"/>
        </w:rPr>
        <w:t>De Gemeente stelt voor de Jeugdhulpaanbieder (naar rato van het lopende kalenderjaar) per kalenderjaar het signaalplafond vast op een nader te bepalen bedrag.</w:t>
      </w:r>
    </w:p>
    <w:p w14:paraId="4FAD7B00" w14:textId="77777777" w:rsidR="009628B1" w:rsidRPr="009628B1" w:rsidRDefault="009628B1" w:rsidP="009628B1">
      <w:pPr>
        <w:numPr>
          <w:ilvl w:val="0"/>
          <w:numId w:val="5"/>
        </w:numPr>
        <w:spacing w:after="0" w:line="280" w:lineRule="atLeast"/>
        <w:contextualSpacing/>
        <w:rPr>
          <w:rFonts w:eastAsia="Calibri" w:cs="Arial"/>
        </w:rPr>
      </w:pPr>
      <w:r w:rsidRPr="009628B1">
        <w:rPr>
          <w:rFonts w:eastAsia="Calibri" w:cs="Arial"/>
        </w:rPr>
        <w:t>Indien de Gemeente gedurende het lopende kalenderjaar overgaat tot het gebruik van een signaalplafond, dan informeert de Gemeente de Jeugdhulpaanbieder daarover minimaal 3 (drie) maanden voorafgaand aan de ingangsdatum.</w:t>
      </w:r>
    </w:p>
    <w:p w14:paraId="4D54920E" w14:textId="77777777" w:rsidR="009628B1" w:rsidRPr="009628B1" w:rsidRDefault="009628B1" w:rsidP="009628B1">
      <w:pPr>
        <w:numPr>
          <w:ilvl w:val="0"/>
          <w:numId w:val="5"/>
        </w:numPr>
        <w:spacing w:after="0" w:line="280" w:lineRule="atLeast"/>
        <w:contextualSpacing/>
        <w:rPr>
          <w:rFonts w:eastAsia="Calibri" w:cs="Arial"/>
        </w:rPr>
      </w:pPr>
      <w:r w:rsidRPr="009628B1">
        <w:rPr>
          <w:rFonts w:eastAsia="Calibri" w:cs="Arial"/>
        </w:rPr>
        <w:t>Het signaalplafond wordt schriftelijk gecommuniceerd en maakt onderdeel uit van Deel1B van de overeenkomst.</w:t>
      </w:r>
    </w:p>
    <w:p w14:paraId="407401DF" w14:textId="77777777" w:rsidR="009628B1" w:rsidRPr="009628B1" w:rsidRDefault="009628B1" w:rsidP="009628B1">
      <w:pPr>
        <w:tabs>
          <w:tab w:val="left" w:pos="2268"/>
        </w:tabs>
        <w:spacing w:after="0" w:line="280" w:lineRule="atLeast"/>
        <w:rPr>
          <w:rFonts w:eastAsia="Calibri" w:cs="Times New Roman"/>
        </w:rPr>
      </w:pPr>
    </w:p>
    <w:p w14:paraId="3D78993C" w14:textId="77777777" w:rsidR="009628B1" w:rsidRPr="009628B1" w:rsidRDefault="009628B1" w:rsidP="00577866">
      <w:pPr>
        <w:pStyle w:val="Geenafstand"/>
        <w:rPr>
          <w:b/>
          <w:bCs/>
        </w:rPr>
      </w:pPr>
      <w:bookmarkStart w:id="6" w:name="_Toc178326091"/>
      <w:r w:rsidRPr="009628B1">
        <w:rPr>
          <w:b/>
          <w:bCs/>
        </w:rPr>
        <w:t>Art. 1J Signaalplafond lid 1 sub b</w:t>
      </w:r>
      <w:bookmarkEnd w:id="6"/>
    </w:p>
    <w:p w14:paraId="569B68BD" w14:textId="77777777" w:rsidR="009628B1" w:rsidRPr="009628B1" w:rsidRDefault="009628B1" w:rsidP="009628B1">
      <w:pPr>
        <w:tabs>
          <w:tab w:val="left" w:pos="284"/>
          <w:tab w:val="left" w:pos="567"/>
        </w:tabs>
        <w:spacing w:after="0" w:line="320" w:lineRule="atLeast"/>
        <w:rPr>
          <w:rFonts w:eastAsia="Calibri" w:cs="Times New Roman"/>
        </w:rPr>
      </w:pPr>
      <w:r w:rsidRPr="009628B1">
        <w:rPr>
          <w:rFonts w:eastAsia="Calibri" w:cs="Times New Roman"/>
        </w:rPr>
        <w:t>Werkwijze en voorwaarden bij gebruik van een signaalplafond</w:t>
      </w:r>
    </w:p>
    <w:p w14:paraId="230E019D" w14:textId="77777777" w:rsidR="009628B1" w:rsidRPr="009628B1" w:rsidRDefault="009628B1" w:rsidP="009628B1">
      <w:pPr>
        <w:spacing w:after="0" w:line="280" w:lineRule="atLeast"/>
        <w:ind w:left="360"/>
        <w:rPr>
          <w:rFonts w:eastAsia="Calibri" w:cs="Arial"/>
        </w:rPr>
      </w:pPr>
      <w:r w:rsidRPr="009628B1">
        <w:rPr>
          <w:rFonts w:eastAsia="Calibri" w:cs="Arial"/>
        </w:rPr>
        <w:t>De Gemeente die voor de Jeugdhulpaanbieder het signaalplafond vaststelt, neemt bij haar werkwijze de volgende voorwaarden in acht:</w:t>
      </w:r>
    </w:p>
    <w:p w14:paraId="6B60AD8A" w14:textId="77777777" w:rsidR="009628B1" w:rsidRPr="009628B1" w:rsidRDefault="009628B1" w:rsidP="009628B1">
      <w:pPr>
        <w:numPr>
          <w:ilvl w:val="0"/>
          <w:numId w:val="6"/>
        </w:numPr>
        <w:spacing w:after="0" w:line="280" w:lineRule="atLeast"/>
        <w:contextualSpacing/>
        <w:rPr>
          <w:rFonts w:eastAsia="Calibri" w:cs="Arial"/>
        </w:rPr>
      </w:pPr>
      <w:r w:rsidRPr="009628B1">
        <w:rPr>
          <w:rFonts w:eastAsia="Calibri" w:cs="Arial"/>
        </w:rPr>
        <w:t>Indien een signaalplafond in het desbetreffende jaar van toepassing is, dan geldt het signaalplafond voor de periode van 1 januari tot en met 31 december van enig jaar gedurende de looptijd van de overeenkomst;</w:t>
      </w:r>
    </w:p>
    <w:p w14:paraId="76EE683D" w14:textId="77777777" w:rsidR="009628B1" w:rsidRPr="009628B1" w:rsidRDefault="009628B1" w:rsidP="009628B1">
      <w:pPr>
        <w:numPr>
          <w:ilvl w:val="0"/>
          <w:numId w:val="6"/>
        </w:numPr>
        <w:spacing w:after="0" w:line="280" w:lineRule="atLeast"/>
        <w:contextualSpacing/>
        <w:rPr>
          <w:rFonts w:eastAsia="Calibri" w:cs="Arial"/>
        </w:rPr>
      </w:pPr>
      <w:r w:rsidRPr="009628B1">
        <w:rPr>
          <w:rFonts w:eastAsia="Calibri" w:cs="Arial"/>
        </w:rPr>
        <w:t>Indien de Gemeente gedurende het lopende kalenderjaar overgaat tot het gebruik van een signaalplafond, dan geldt het signaalplafond voor de periode vanaf de ingangsdatum tot en met 31 december van het desbetreffende jaar;</w:t>
      </w:r>
    </w:p>
    <w:p w14:paraId="3321D596" w14:textId="77777777" w:rsidR="009628B1" w:rsidRPr="009628B1" w:rsidRDefault="009628B1" w:rsidP="009628B1">
      <w:pPr>
        <w:numPr>
          <w:ilvl w:val="0"/>
          <w:numId w:val="6"/>
        </w:numPr>
        <w:spacing w:after="0" w:line="280" w:lineRule="atLeast"/>
        <w:contextualSpacing/>
        <w:rPr>
          <w:rFonts w:eastAsia="Calibri" w:cs="Arial"/>
        </w:rPr>
      </w:pPr>
      <w:r w:rsidRPr="009628B1">
        <w:rPr>
          <w:rFonts w:eastAsia="Calibri" w:cs="Arial"/>
        </w:rPr>
        <w:t>De Gemeente informeert de Jeugdhulpaanbieder tenminste drie maanden voorafgaand aan de ingangsdatum over:</w:t>
      </w:r>
    </w:p>
    <w:p w14:paraId="340BA4D9" w14:textId="77777777" w:rsidR="009628B1" w:rsidRPr="009628B1" w:rsidRDefault="009628B1" w:rsidP="009628B1">
      <w:pPr>
        <w:numPr>
          <w:ilvl w:val="1"/>
          <w:numId w:val="6"/>
        </w:numPr>
        <w:spacing w:after="0" w:line="280" w:lineRule="atLeast"/>
        <w:contextualSpacing/>
        <w:rPr>
          <w:rFonts w:eastAsia="Calibri" w:cs="Arial"/>
        </w:rPr>
      </w:pPr>
      <w:r w:rsidRPr="009628B1">
        <w:rPr>
          <w:rFonts w:eastAsia="Calibri" w:cs="Arial"/>
        </w:rPr>
        <w:t>het gebruik maken van een signaalplafond,</w:t>
      </w:r>
    </w:p>
    <w:p w14:paraId="3DBFEC01" w14:textId="77777777" w:rsidR="009628B1" w:rsidRPr="009628B1" w:rsidRDefault="009628B1" w:rsidP="009628B1">
      <w:pPr>
        <w:numPr>
          <w:ilvl w:val="1"/>
          <w:numId w:val="6"/>
        </w:numPr>
        <w:spacing w:after="0" w:line="280" w:lineRule="atLeast"/>
        <w:contextualSpacing/>
        <w:rPr>
          <w:rFonts w:eastAsia="Calibri" w:cs="Arial"/>
        </w:rPr>
      </w:pPr>
      <w:r w:rsidRPr="009628B1">
        <w:rPr>
          <w:rFonts w:eastAsia="Calibri" w:cs="Arial"/>
        </w:rPr>
        <w:t>de processtappen die hebben geleid tot het vaststellen van het signaalplafond,</w:t>
      </w:r>
    </w:p>
    <w:p w14:paraId="06CDADAC" w14:textId="77777777" w:rsidR="009628B1" w:rsidRPr="009628B1" w:rsidRDefault="009628B1" w:rsidP="009628B1">
      <w:pPr>
        <w:numPr>
          <w:ilvl w:val="0"/>
          <w:numId w:val="6"/>
        </w:numPr>
        <w:spacing w:after="0" w:line="280" w:lineRule="atLeast"/>
        <w:contextualSpacing/>
        <w:rPr>
          <w:rFonts w:eastAsia="Calibri" w:cs="Arial"/>
        </w:rPr>
      </w:pPr>
      <w:r w:rsidRPr="009628B1">
        <w:rPr>
          <w:rFonts w:eastAsia="Calibri" w:cs="Arial"/>
        </w:rPr>
        <w:t>de wijze van informatie-uitwisseling tussen Gemeente en Jeugdhulpaanbieder gedurende het proces. De Gemeente informeert de Jeugdhulpaanbieder minimaal een maand voor de ingangsdatum over het besluit betreffende looptijd en omvang van het signaalplafond;</w:t>
      </w:r>
    </w:p>
    <w:p w14:paraId="1B8C41A7" w14:textId="77777777" w:rsidR="009628B1" w:rsidRPr="009628B1" w:rsidRDefault="009628B1" w:rsidP="009628B1">
      <w:pPr>
        <w:numPr>
          <w:ilvl w:val="0"/>
          <w:numId w:val="6"/>
        </w:numPr>
        <w:spacing w:after="0" w:line="280" w:lineRule="atLeast"/>
        <w:contextualSpacing/>
        <w:rPr>
          <w:rFonts w:eastAsia="Calibri" w:cs="Arial"/>
        </w:rPr>
      </w:pPr>
      <w:r w:rsidRPr="009628B1">
        <w:rPr>
          <w:rFonts w:eastAsia="Calibri" w:cs="Arial"/>
        </w:rPr>
        <w:t>Bij verlenging van het gebruik van het signaalplafond neemt de Gemeente alle gestelde voorwaarden opnieuw in acht.</w:t>
      </w:r>
    </w:p>
    <w:p w14:paraId="6EBF76E9" w14:textId="77777777" w:rsidR="009628B1" w:rsidRPr="009628B1" w:rsidRDefault="009628B1" w:rsidP="009628B1">
      <w:pPr>
        <w:spacing w:after="0" w:line="280" w:lineRule="atLeast"/>
        <w:rPr>
          <w:rFonts w:eastAsia="Calibri" w:cs="Times New Roman"/>
        </w:rPr>
      </w:pPr>
    </w:p>
    <w:p w14:paraId="4241C147" w14:textId="77777777" w:rsidR="009628B1" w:rsidRPr="009628B1" w:rsidRDefault="009628B1" w:rsidP="00577866">
      <w:pPr>
        <w:pStyle w:val="Geenafstand"/>
        <w:rPr>
          <w:b/>
          <w:bCs/>
        </w:rPr>
      </w:pPr>
      <w:bookmarkStart w:id="7" w:name="_Toc178326092"/>
      <w:r w:rsidRPr="009628B1">
        <w:rPr>
          <w:b/>
          <w:bCs/>
        </w:rPr>
        <w:t>Art. 1J Signaalplafond lid 1 sub c</w:t>
      </w:r>
      <w:bookmarkEnd w:id="7"/>
    </w:p>
    <w:p w14:paraId="6FA0ABB7" w14:textId="77777777" w:rsidR="009628B1" w:rsidRPr="009628B1" w:rsidRDefault="009628B1" w:rsidP="009628B1">
      <w:pPr>
        <w:tabs>
          <w:tab w:val="left" w:pos="284"/>
          <w:tab w:val="left" w:pos="567"/>
        </w:tabs>
        <w:spacing w:after="0" w:line="320" w:lineRule="atLeast"/>
        <w:rPr>
          <w:rFonts w:eastAsia="Calibri" w:cs="Times New Roman"/>
        </w:rPr>
      </w:pPr>
      <w:r w:rsidRPr="009628B1">
        <w:rPr>
          <w:rFonts w:eastAsia="Calibri" w:cs="Times New Roman"/>
        </w:rPr>
        <w:t>Bij de afwegingen te betrekken elementen in geval van gebruik van een signaalplafond.</w:t>
      </w:r>
    </w:p>
    <w:p w14:paraId="01E86D0B" w14:textId="77777777" w:rsidR="009628B1" w:rsidRPr="009628B1" w:rsidRDefault="009628B1" w:rsidP="009628B1">
      <w:pPr>
        <w:spacing w:after="0" w:line="280" w:lineRule="atLeast"/>
        <w:ind w:left="720"/>
        <w:rPr>
          <w:rFonts w:eastAsia="Calibri" w:cs="Arial"/>
        </w:rPr>
      </w:pPr>
      <w:r w:rsidRPr="009628B1">
        <w:rPr>
          <w:rFonts w:eastAsia="Calibri" w:cs="Arial"/>
        </w:rPr>
        <w:t>De Gemeente die gebruik maakt van een signaalplafond, neemt bij de vaststelling en de hoogte van de signaalplafond daartoe jaarlijks, in overeenstemming met - en passend binnen de gemeentelijke beleidskeuzes en vastgestelde begroting, ten minste de volgende elementen in acht:</w:t>
      </w:r>
    </w:p>
    <w:p w14:paraId="4CABDF4A" w14:textId="77777777" w:rsidR="009628B1" w:rsidRPr="009628B1" w:rsidRDefault="009628B1" w:rsidP="009628B1">
      <w:pPr>
        <w:numPr>
          <w:ilvl w:val="0"/>
          <w:numId w:val="7"/>
        </w:numPr>
        <w:spacing w:after="0" w:line="280" w:lineRule="atLeast"/>
        <w:contextualSpacing/>
        <w:rPr>
          <w:rFonts w:eastAsia="Calibri" w:cs="Arial"/>
        </w:rPr>
      </w:pPr>
      <w:r w:rsidRPr="009628B1">
        <w:rPr>
          <w:rFonts w:eastAsia="Calibri" w:cs="Arial"/>
        </w:rPr>
        <w:t>De verdeling naar de aard van de hulp- of zorgvraag en het aantal jeugdigen dat het betreft;</w:t>
      </w:r>
    </w:p>
    <w:p w14:paraId="78A1FEBC" w14:textId="77777777" w:rsidR="009628B1" w:rsidRPr="009628B1" w:rsidRDefault="009628B1" w:rsidP="009628B1">
      <w:pPr>
        <w:numPr>
          <w:ilvl w:val="0"/>
          <w:numId w:val="7"/>
        </w:numPr>
        <w:spacing w:after="0" w:line="280" w:lineRule="atLeast"/>
        <w:contextualSpacing/>
        <w:rPr>
          <w:rFonts w:eastAsia="Calibri" w:cs="Arial"/>
        </w:rPr>
      </w:pPr>
      <w:r w:rsidRPr="009628B1">
        <w:rPr>
          <w:rFonts w:eastAsia="Calibri" w:cs="Arial"/>
        </w:rPr>
        <w:t>Ontwikkeling van de omzet zowel vanuit historisch en als toekomstig perspectief van de Jeugdhulpaanbieder;</w:t>
      </w:r>
    </w:p>
    <w:p w14:paraId="79B675DE" w14:textId="77777777" w:rsidR="009628B1" w:rsidRPr="009628B1" w:rsidRDefault="009628B1" w:rsidP="009628B1">
      <w:pPr>
        <w:numPr>
          <w:ilvl w:val="0"/>
          <w:numId w:val="7"/>
        </w:numPr>
        <w:spacing w:after="0" w:line="280" w:lineRule="atLeast"/>
        <w:contextualSpacing/>
        <w:rPr>
          <w:rFonts w:eastAsia="Calibri" w:cs="Arial"/>
        </w:rPr>
      </w:pPr>
      <w:r w:rsidRPr="009628B1">
        <w:rPr>
          <w:rFonts w:eastAsia="Calibri" w:cs="Arial"/>
        </w:rPr>
        <w:t>Het aantal jeugdigen dat jeugdhulp heeft ontvangen in voorgaande perioden;</w:t>
      </w:r>
    </w:p>
    <w:p w14:paraId="67D4C45A" w14:textId="77777777" w:rsidR="009628B1" w:rsidRPr="009628B1" w:rsidRDefault="009628B1" w:rsidP="009628B1">
      <w:pPr>
        <w:numPr>
          <w:ilvl w:val="0"/>
          <w:numId w:val="7"/>
        </w:numPr>
        <w:spacing w:after="0" w:line="280" w:lineRule="atLeast"/>
        <w:contextualSpacing/>
        <w:rPr>
          <w:rFonts w:eastAsia="Calibri" w:cs="Arial"/>
        </w:rPr>
      </w:pPr>
      <w:r w:rsidRPr="009628B1">
        <w:rPr>
          <w:rFonts w:eastAsia="Calibri" w:cs="Arial"/>
        </w:rPr>
        <w:t>Te verwachten groei of krimp van de omzet bij de Jeugdhulpaanbieder / aantal jeugdigen dat jeugdhulp ontvangt;</w:t>
      </w:r>
    </w:p>
    <w:p w14:paraId="687D9087" w14:textId="77777777" w:rsidR="009628B1" w:rsidRPr="009628B1" w:rsidRDefault="009628B1" w:rsidP="009628B1">
      <w:pPr>
        <w:numPr>
          <w:ilvl w:val="0"/>
          <w:numId w:val="7"/>
        </w:numPr>
        <w:spacing w:after="0" w:line="280" w:lineRule="atLeast"/>
        <w:contextualSpacing/>
        <w:rPr>
          <w:rFonts w:eastAsia="Calibri" w:cs="Arial"/>
        </w:rPr>
      </w:pPr>
      <w:r w:rsidRPr="009628B1">
        <w:rPr>
          <w:rFonts w:eastAsia="Calibri" w:cs="Arial"/>
        </w:rPr>
        <w:t>Het aanbod aan producten en diensten van de Jeugdhulpaanbieder;</w:t>
      </w:r>
    </w:p>
    <w:p w14:paraId="341E7119" w14:textId="77777777" w:rsidR="009628B1" w:rsidRPr="009628B1" w:rsidRDefault="009628B1" w:rsidP="009628B1">
      <w:pPr>
        <w:numPr>
          <w:ilvl w:val="0"/>
          <w:numId w:val="7"/>
        </w:numPr>
        <w:spacing w:after="0" w:line="280" w:lineRule="atLeast"/>
        <w:contextualSpacing/>
        <w:rPr>
          <w:rFonts w:eastAsia="Calibri" w:cs="Arial"/>
        </w:rPr>
      </w:pPr>
      <w:r w:rsidRPr="009628B1">
        <w:rPr>
          <w:rFonts w:eastAsia="Calibri" w:cs="Arial"/>
        </w:rPr>
        <w:lastRenderedPageBreak/>
        <w:t>Overige tussen Gemeente en Jeugdhulpaanbieder overeengekomen prestaties, waaronder trajectomvang en de samenwerking met het lokaal team;</w:t>
      </w:r>
    </w:p>
    <w:p w14:paraId="0EE58EB2" w14:textId="77777777" w:rsidR="009628B1" w:rsidRPr="009628B1" w:rsidRDefault="009628B1" w:rsidP="009628B1">
      <w:pPr>
        <w:numPr>
          <w:ilvl w:val="0"/>
          <w:numId w:val="7"/>
        </w:numPr>
        <w:spacing w:after="0" w:line="280" w:lineRule="atLeast"/>
        <w:contextualSpacing/>
        <w:rPr>
          <w:rFonts w:eastAsia="Calibri" w:cs="Arial"/>
        </w:rPr>
      </w:pPr>
      <w:r w:rsidRPr="009628B1">
        <w:rPr>
          <w:rFonts w:eastAsia="Calibri" w:cs="Arial"/>
        </w:rPr>
        <w:t>De Gemeente stelt in overleg met de betreffende Jeugdhulpaanbieder uiterlijk  3 (drie) maand voor de ingangsdatum van het signaalplafond een plan op waaruit eenduidig de voorzienbare gevolgen blijken voor:</w:t>
      </w:r>
    </w:p>
    <w:p w14:paraId="17A00880"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de administratieve lasten;</w:t>
      </w:r>
    </w:p>
    <w:p w14:paraId="7172D510"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te treffen maatregelen, ten einde binnen het signaalplafond te blijven;</w:t>
      </w:r>
    </w:p>
    <w:p w14:paraId="5D64BA5A"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de waarborgen voor een onbelemmerde voortzetting en betaling van de jeugdhulp voor jeugdigen die deze hulp reeds ontvangen bij het bereiken van het maximale signaalplafond door de Jeugdhulpaanbieder;</w:t>
      </w:r>
    </w:p>
    <w:p w14:paraId="7C4DEC21"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jeugdigen die op de wachtlijst staan voor jeugdhulp bij de Jeugdhulpaanbieder;</w:t>
      </w:r>
    </w:p>
    <w:p w14:paraId="54689B3C"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de mogelijkheden voor hulpverlening aan jeugdigen die een verwijzing ontvangen van de gemeentelijke toegang of een wettelijk verwijzer, na het bereiken van het maximale signaalplafond;</w:t>
      </w:r>
    </w:p>
    <w:p w14:paraId="4C182057"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het bewaken van het signaalplafond bij aspecifieke toewijzingen en de afspraken over de taakverdeling tussen Gemeente en Jeugdhulpaanbieder zoals bedoeld in het derde lid:</w:t>
      </w:r>
    </w:p>
    <w:p w14:paraId="549D97C0"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de te volgen administratieve procedure in geval van de verwijzing van een jeugdige na het bereiken van het maximale signaalplafond door de Jeugdhulpaanbieder, een en ander onverlet de verplichting tot betalen van declaraties die na het bereiken van het maximale signaalplafond voortvloeien uit een specifieke toewijzing afgegeven door de Gemeente;</w:t>
      </w:r>
    </w:p>
    <w:p w14:paraId="3CD37B0A"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de wijze waarop de Gemeente en de Jeugdhulpaanbieder het bereiken van het maximale signaalplafond signaleren en elkaar en de wettelijk verwijzers daarover informeren;</w:t>
      </w:r>
    </w:p>
    <w:p w14:paraId="182403C1"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de afspraken over tussentijdse wijzigingen in het signaalplafond;</w:t>
      </w:r>
    </w:p>
    <w:p w14:paraId="38B0C3C7"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de jeugdhulp die is aangemerkt als hoog-complexe crisogene/spoedhulp, die ook na het bereiken van het maximale signaalplafond doorgang vindt en die de Gemeente na levering altijd betaalt;</w:t>
      </w:r>
    </w:p>
    <w:p w14:paraId="705379C3" w14:textId="77777777" w:rsidR="009628B1" w:rsidRPr="009628B1" w:rsidRDefault="009628B1" w:rsidP="009628B1">
      <w:pPr>
        <w:numPr>
          <w:ilvl w:val="1"/>
          <w:numId w:val="7"/>
        </w:numPr>
        <w:spacing w:after="0" w:line="280" w:lineRule="atLeast"/>
        <w:contextualSpacing/>
        <w:rPr>
          <w:rFonts w:eastAsia="Calibri" w:cs="Arial"/>
        </w:rPr>
      </w:pPr>
      <w:r w:rsidRPr="009628B1">
        <w:rPr>
          <w:rFonts w:eastAsia="Calibri" w:cs="Arial"/>
        </w:rPr>
        <w:t>tussentijdse actualisatie bijvoorbeeld op basis van nieuwe inzichten en/of gewijzigde omstandigheden, in onderlinge afstemming tussen Gemeente en Jeugdhulpaanbieder.</w:t>
      </w:r>
    </w:p>
    <w:p w14:paraId="4D733130" w14:textId="77777777" w:rsidR="009628B1" w:rsidRPr="009628B1" w:rsidRDefault="009628B1" w:rsidP="009628B1">
      <w:pPr>
        <w:spacing w:after="0" w:line="280" w:lineRule="atLeast"/>
        <w:rPr>
          <w:rFonts w:eastAsia="Calibri" w:cs="Arial"/>
        </w:rPr>
      </w:pPr>
    </w:p>
    <w:p w14:paraId="5732E84F" w14:textId="77777777" w:rsidR="009628B1" w:rsidRPr="009628B1" w:rsidRDefault="009628B1" w:rsidP="00577866">
      <w:pPr>
        <w:pStyle w:val="Geenafstand"/>
        <w:rPr>
          <w:b/>
          <w:bCs/>
        </w:rPr>
      </w:pPr>
      <w:bookmarkStart w:id="8" w:name="_Toc178326093"/>
      <w:r w:rsidRPr="009628B1">
        <w:rPr>
          <w:b/>
          <w:bCs/>
        </w:rPr>
        <w:t>Artikel 1J Signaalplafond lid 2</w:t>
      </w:r>
      <w:bookmarkEnd w:id="8"/>
    </w:p>
    <w:p w14:paraId="570711CA" w14:textId="77777777" w:rsidR="009628B1" w:rsidRPr="009628B1" w:rsidRDefault="009628B1" w:rsidP="009628B1">
      <w:pPr>
        <w:tabs>
          <w:tab w:val="left" w:pos="284"/>
          <w:tab w:val="left" w:pos="567"/>
        </w:tabs>
        <w:spacing w:after="0" w:line="320" w:lineRule="atLeast"/>
        <w:rPr>
          <w:rFonts w:eastAsia="Calibri" w:cs="Times New Roman"/>
        </w:rPr>
      </w:pPr>
      <w:r w:rsidRPr="009628B1">
        <w:rPr>
          <w:rFonts w:eastAsia="Calibri" w:cs="Times New Roman"/>
        </w:rPr>
        <w:t>Levering binnen signaalplafond</w:t>
      </w:r>
    </w:p>
    <w:p w14:paraId="45424C39" w14:textId="77777777" w:rsidR="009628B1" w:rsidRPr="009628B1" w:rsidRDefault="009628B1" w:rsidP="009628B1">
      <w:pPr>
        <w:tabs>
          <w:tab w:val="left" w:pos="2268"/>
        </w:tabs>
        <w:spacing w:after="0" w:line="280" w:lineRule="atLeast"/>
        <w:ind w:left="567"/>
        <w:rPr>
          <w:rFonts w:eastAsia="Calibri" w:cs="Times New Roman"/>
        </w:rPr>
      </w:pPr>
    </w:p>
    <w:p w14:paraId="1B72F862" w14:textId="77777777" w:rsidR="009628B1" w:rsidRPr="009628B1" w:rsidRDefault="009628B1" w:rsidP="009628B1">
      <w:pPr>
        <w:tabs>
          <w:tab w:val="left" w:pos="2268"/>
        </w:tabs>
        <w:spacing w:after="0" w:line="280" w:lineRule="atLeast"/>
        <w:ind w:left="567"/>
        <w:rPr>
          <w:rFonts w:eastAsia="Calibri" w:cs="Times New Roman"/>
        </w:rPr>
      </w:pPr>
      <w:r w:rsidRPr="009628B1">
        <w:rPr>
          <w:rFonts w:eastAsia="Calibri" w:cs="Times New Roman"/>
        </w:rPr>
        <w:t xml:space="preserve">Binnen het maximale signaalplafond levert de Jeugdhulpaanbieder de jeugdhulp zoals overeengekomen. </w:t>
      </w:r>
    </w:p>
    <w:p w14:paraId="24AF7AA1" w14:textId="77777777" w:rsidR="009628B1" w:rsidRPr="009628B1" w:rsidRDefault="009628B1" w:rsidP="009628B1">
      <w:pPr>
        <w:tabs>
          <w:tab w:val="left" w:pos="2268"/>
        </w:tabs>
        <w:spacing w:after="0" w:line="280" w:lineRule="atLeast"/>
        <w:rPr>
          <w:rFonts w:eastAsia="Calibri" w:cs="Times New Roman"/>
        </w:rPr>
      </w:pPr>
    </w:p>
    <w:p w14:paraId="7B0040B6" w14:textId="77777777" w:rsidR="009628B1" w:rsidRPr="009628B1" w:rsidRDefault="009628B1" w:rsidP="00577866">
      <w:pPr>
        <w:pStyle w:val="Geenafstand"/>
        <w:rPr>
          <w:b/>
          <w:bCs/>
        </w:rPr>
      </w:pPr>
      <w:bookmarkStart w:id="9" w:name="_Toc178326094"/>
      <w:r w:rsidRPr="009628B1">
        <w:rPr>
          <w:b/>
          <w:bCs/>
        </w:rPr>
        <w:t>Artikel 1J Signaalplafond lid 3</w:t>
      </w:r>
      <w:bookmarkEnd w:id="9"/>
    </w:p>
    <w:p w14:paraId="53BF783B" w14:textId="77777777" w:rsidR="009628B1" w:rsidRPr="009628B1" w:rsidRDefault="009628B1" w:rsidP="009628B1">
      <w:pPr>
        <w:tabs>
          <w:tab w:val="left" w:pos="284"/>
          <w:tab w:val="left" w:pos="567"/>
        </w:tabs>
        <w:spacing w:after="0" w:line="320" w:lineRule="atLeast"/>
        <w:rPr>
          <w:rFonts w:eastAsia="Calibri" w:cs="Times New Roman"/>
        </w:rPr>
      </w:pPr>
      <w:r w:rsidRPr="009628B1">
        <w:rPr>
          <w:rFonts w:eastAsia="Calibri" w:cs="Arial"/>
        </w:rPr>
        <w:t>Signaalplafond: bewaking, overschrijding, communicatie bij bereiken maximale signaalplafond.</w:t>
      </w:r>
    </w:p>
    <w:p w14:paraId="737461D9" w14:textId="77777777" w:rsidR="009628B1" w:rsidRPr="009628B1" w:rsidRDefault="009628B1" w:rsidP="009628B1">
      <w:pPr>
        <w:tabs>
          <w:tab w:val="left" w:pos="2268"/>
        </w:tabs>
        <w:spacing w:after="0" w:line="280" w:lineRule="atLeast"/>
        <w:ind w:left="567"/>
        <w:rPr>
          <w:rFonts w:eastAsia="Calibri" w:cs="Times New Roman"/>
        </w:rPr>
      </w:pPr>
    </w:p>
    <w:p w14:paraId="52DAA9AF" w14:textId="77777777" w:rsidR="009628B1" w:rsidRPr="009628B1" w:rsidRDefault="009628B1" w:rsidP="009628B1">
      <w:pPr>
        <w:numPr>
          <w:ilvl w:val="0"/>
          <w:numId w:val="8"/>
        </w:numPr>
        <w:tabs>
          <w:tab w:val="left" w:pos="2268"/>
        </w:tabs>
        <w:spacing w:after="0" w:line="280" w:lineRule="atLeast"/>
        <w:rPr>
          <w:rFonts w:eastAsia="Calibri" w:cs="Arial"/>
        </w:rPr>
      </w:pPr>
      <w:r w:rsidRPr="009628B1">
        <w:rPr>
          <w:rFonts w:eastAsia="Calibri" w:cs="Arial"/>
        </w:rPr>
        <w:t>De Gemeente is de eerstverantwoordelijke partij voor het bewaken van het signaalplafond;</w:t>
      </w:r>
    </w:p>
    <w:p w14:paraId="29AC6F20" w14:textId="77777777" w:rsidR="009628B1" w:rsidRPr="009628B1" w:rsidRDefault="009628B1" w:rsidP="009628B1">
      <w:pPr>
        <w:numPr>
          <w:ilvl w:val="0"/>
          <w:numId w:val="8"/>
        </w:numPr>
        <w:tabs>
          <w:tab w:val="left" w:pos="2268"/>
        </w:tabs>
        <w:spacing w:after="0" w:line="280" w:lineRule="atLeast"/>
        <w:rPr>
          <w:rFonts w:eastAsia="Calibri" w:cs="Arial"/>
        </w:rPr>
      </w:pPr>
      <w:r w:rsidRPr="009628B1">
        <w:rPr>
          <w:rFonts w:eastAsia="Calibri" w:cs="Arial"/>
        </w:rPr>
        <w:t>Indien sprake is van aspecifieke toewijzing(en), dan is de Jeugdhulpaanbieder eerstverantwoordelijk voor het bewaken van het signaalplafond;</w:t>
      </w:r>
    </w:p>
    <w:p w14:paraId="572FDC37" w14:textId="77777777" w:rsidR="009628B1" w:rsidRPr="009628B1" w:rsidRDefault="009628B1" w:rsidP="009628B1">
      <w:pPr>
        <w:numPr>
          <w:ilvl w:val="0"/>
          <w:numId w:val="8"/>
        </w:numPr>
        <w:tabs>
          <w:tab w:val="left" w:pos="2268"/>
        </w:tabs>
        <w:spacing w:after="0" w:line="280" w:lineRule="atLeast"/>
        <w:rPr>
          <w:rFonts w:eastAsia="Calibri" w:cs="Arial"/>
        </w:rPr>
      </w:pPr>
      <w:r w:rsidRPr="009628B1">
        <w:rPr>
          <w:rFonts w:eastAsia="Calibri" w:cs="Arial"/>
        </w:rPr>
        <w:t>De Gemeente en de Jeugdhulpaanbieder maken passende afspraken over de gezamenlijke en ieders individuele verantwoordelijkheid ten aanzien van het bewaken van het signaalplafond en leggen deze vast in het plan als bedoeld in artikel J, lid 1, sub c, punt 7;</w:t>
      </w:r>
    </w:p>
    <w:p w14:paraId="62200FA8" w14:textId="77777777" w:rsidR="009628B1" w:rsidRPr="009628B1" w:rsidRDefault="009628B1" w:rsidP="009628B1">
      <w:pPr>
        <w:numPr>
          <w:ilvl w:val="0"/>
          <w:numId w:val="8"/>
        </w:numPr>
        <w:tabs>
          <w:tab w:val="left" w:pos="2268"/>
        </w:tabs>
        <w:spacing w:after="0" w:line="280" w:lineRule="atLeast"/>
        <w:rPr>
          <w:rFonts w:eastAsia="Calibri" w:cs="Arial"/>
        </w:rPr>
      </w:pPr>
      <w:r w:rsidRPr="009628B1">
        <w:rPr>
          <w:rFonts w:eastAsia="Calibri" w:cs="Arial"/>
        </w:rPr>
        <w:t>Indien de Gemeente op basis van de beschikbare informatie - waaronder het landelijk berichtenverkeer volgens de vigerende i-Standaarden en eigen prognoses - vaststelt dat 70% van het maximaal beschikbare signaalplafond is benut of dat een overschrijding dreigt, dan deelt de Gemeente dit schriftelijk mee aan de Jeugdhulpaanbieder;</w:t>
      </w:r>
    </w:p>
    <w:p w14:paraId="03058C88" w14:textId="77777777" w:rsidR="009628B1" w:rsidRPr="009628B1" w:rsidRDefault="009628B1" w:rsidP="009628B1">
      <w:pPr>
        <w:numPr>
          <w:ilvl w:val="0"/>
          <w:numId w:val="8"/>
        </w:numPr>
        <w:tabs>
          <w:tab w:val="left" w:pos="2268"/>
        </w:tabs>
        <w:spacing w:after="0" w:line="280" w:lineRule="atLeast"/>
        <w:rPr>
          <w:rFonts w:eastAsia="Calibri" w:cs="Arial"/>
        </w:rPr>
      </w:pPr>
      <w:r w:rsidRPr="009628B1">
        <w:rPr>
          <w:rFonts w:eastAsia="Calibri" w:cs="Arial"/>
        </w:rPr>
        <w:t>Indien sprake is van een situatie zoals beschreven in het vorige lid, dan treden Gemeente en Jeugdhulpaanbieder binnen 2 (twee) weken met elkaar in overleg over mogelijke oplossingsrichtingen en hanteren het – indien nodig, te actualiseren - plan als bedoeld in artikel D, lid 1, sub c, punt 7 als leidraad;</w:t>
      </w:r>
    </w:p>
    <w:p w14:paraId="06ECF17C" w14:textId="77777777" w:rsidR="009628B1" w:rsidRPr="009628B1" w:rsidRDefault="009628B1" w:rsidP="009628B1">
      <w:pPr>
        <w:numPr>
          <w:ilvl w:val="0"/>
          <w:numId w:val="8"/>
        </w:numPr>
        <w:tabs>
          <w:tab w:val="left" w:pos="2268"/>
        </w:tabs>
        <w:spacing w:after="0" w:line="280" w:lineRule="atLeast"/>
        <w:rPr>
          <w:rFonts w:eastAsia="Calibri" w:cs="Arial"/>
        </w:rPr>
      </w:pPr>
      <w:r w:rsidRPr="009628B1">
        <w:rPr>
          <w:rFonts w:eastAsia="Calibri" w:cs="Arial"/>
        </w:rPr>
        <w:lastRenderedPageBreak/>
        <w:t>De Gemeente neemt aan de hand van de specifieke situatie binnen 2 (twee) weken een besluit over de overschrijding van het signaalplafond door de Jeugdhulpaanbieder;</w:t>
      </w:r>
    </w:p>
    <w:p w14:paraId="4885EE70" w14:textId="77777777" w:rsidR="009628B1" w:rsidRPr="009628B1" w:rsidRDefault="009628B1" w:rsidP="00577866">
      <w:pPr>
        <w:tabs>
          <w:tab w:val="left" w:pos="2268"/>
        </w:tabs>
        <w:spacing w:after="0" w:line="280" w:lineRule="atLeast"/>
        <w:rPr>
          <w:rFonts w:eastAsia="Calibri" w:cs="Arial"/>
        </w:rPr>
      </w:pPr>
    </w:p>
    <w:p w14:paraId="55191DEC" w14:textId="77777777" w:rsidR="009628B1" w:rsidRPr="009628B1" w:rsidRDefault="009628B1" w:rsidP="00577866">
      <w:pPr>
        <w:pStyle w:val="Geenafstand"/>
        <w:rPr>
          <w:b/>
          <w:bCs/>
        </w:rPr>
      </w:pPr>
      <w:bookmarkStart w:id="10" w:name="_Toc178326095"/>
      <w:r w:rsidRPr="009628B1">
        <w:rPr>
          <w:b/>
          <w:bCs/>
        </w:rPr>
        <w:t>Artikel 1J Signaalplafond lid 4</w:t>
      </w:r>
      <w:bookmarkEnd w:id="10"/>
    </w:p>
    <w:p w14:paraId="3F9DBB67" w14:textId="77777777" w:rsidR="009628B1" w:rsidRPr="009628B1" w:rsidRDefault="009628B1" w:rsidP="009628B1">
      <w:pPr>
        <w:tabs>
          <w:tab w:val="left" w:pos="284"/>
          <w:tab w:val="left" w:pos="567"/>
        </w:tabs>
        <w:spacing w:after="0" w:line="320" w:lineRule="atLeast"/>
        <w:rPr>
          <w:rFonts w:eastAsia="Calibri" w:cs="Times New Roman"/>
        </w:rPr>
      </w:pPr>
      <w:r w:rsidRPr="009628B1">
        <w:rPr>
          <w:rFonts w:eastAsia="Calibri" w:cs="Times New Roman"/>
        </w:rPr>
        <w:t>Substitutie tussen signaalplafonds</w:t>
      </w:r>
    </w:p>
    <w:p w14:paraId="212B4200" w14:textId="77777777" w:rsidR="009628B1" w:rsidRPr="009628B1" w:rsidRDefault="009628B1" w:rsidP="009628B1">
      <w:pPr>
        <w:tabs>
          <w:tab w:val="left" w:pos="2268"/>
        </w:tabs>
        <w:spacing w:after="0" w:line="280" w:lineRule="atLeast"/>
        <w:ind w:left="567"/>
        <w:rPr>
          <w:rFonts w:eastAsia="Calibri" w:cs="Times New Roman"/>
        </w:rPr>
      </w:pPr>
      <w:r w:rsidRPr="009628B1">
        <w:rPr>
          <w:rFonts w:eastAsia="Calibri" w:cs="Arial"/>
        </w:rPr>
        <w:t>Als de Gemeente en de Jeugdhulpaanbieder voor meerdere vormen van jeugdhulp signaalplafonds zijn overeengekomen, dan mag de Jeugdhulpaanbieder in de uitvoering van de overeenkomsten de signaalplafonds bij elkaar optellen onder de voorwaarden dat de overige afgesloten overeenkomsten hiertoe de mogelijkheid bieden én er geen sprake is van een wezenlijke wijziging in de zin van de Aanbestedingswet 2012 én de Gemeente hiervoor schriftelijk toestemming heeft gegeven.</w:t>
      </w:r>
    </w:p>
    <w:p w14:paraId="6A2786ED" w14:textId="77777777" w:rsidR="009628B1" w:rsidRDefault="009628B1" w:rsidP="00BD6F62">
      <w:pPr>
        <w:tabs>
          <w:tab w:val="left" w:pos="2268"/>
        </w:tabs>
        <w:spacing w:after="0" w:line="280" w:lineRule="atLeast"/>
        <w:rPr>
          <w:rFonts w:eastAsia="Calibri" w:cs="Times New Roman"/>
        </w:rPr>
      </w:pPr>
    </w:p>
    <w:p w14:paraId="6B47C040" w14:textId="54ECB645" w:rsidR="009628B1" w:rsidRPr="009628B1" w:rsidRDefault="009628B1" w:rsidP="009628B1">
      <w:pPr>
        <w:pStyle w:val="Kop2"/>
        <w:rPr>
          <w:rFonts w:eastAsia="Calibri"/>
        </w:rPr>
      </w:pPr>
      <w:bookmarkStart w:id="11" w:name="_Toc184735465"/>
      <w:r>
        <w:rPr>
          <w:rFonts w:eastAsia="Calibri"/>
        </w:rPr>
        <w:t>Extra artikel bestedingsruimte</w:t>
      </w:r>
      <w:bookmarkEnd w:id="11"/>
    </w:p>
    <w:p w14:paraId="5695B0D5" w14:textId="77777777" w:rsidR="009628B1" w:rsidRDefault="009628B1" w:rsidP="009628B1">
      <w:pPr>
        <w:keepNext/>
        <w:keepLines/>
        <w:tabs>
          <w:tab w:val="left" w:pos="851"/>
        </w:tabs>
        <w:spacing w:after="0" w:line="280" w:lineRule="atLeast"/>
        <w:outlineLvl w:val="1"/>
        <w:rPr>
          <w:rFonts w:eastAsia="Times New Roman" w:cs="Times New Roman"/>
          <w:b/>
        </w:rPr>
      </w:pPr>
      <w:bookmarkStart w:id="12" w:name="_Toc178326096"/>
    </w:p>
    <w:p w14:paraId="0C4C387C" w14:textId="043BEC29" w:rsidR="009628B1" w:rsidRPr="009628B1" w:rsidRDefault="009628B1" w:rsidP="00577866">
      <w:pPr>
        <w:pStyle w:val="Geenafstand"/>
        <w:rPr>
          <w:b/>
          <w:bCs/>
        </w:rPr>
      </w:pPr>
      <w:r w:rsidRPr="009628B1">
        <w:rPr>
          <w:b/>
          <w:bCs/>
        </w:rPr>
        <w:t>Artikel 1K</w:t>
      </w:r>
      <w:bookmarkEnd w:id="12"/>
      <w:r w:rsidRPr="009628B1">
        <w:rPr>
          <w:b/>
          <w:bCs/>
        </w:rPr>
        <w:t xml:space="preserve"> </w:t>
      </w:r>
    </w:p>
    <w:p w14:paraId="631F9F3F" w14:textId="77777777" w:rsidR="009628B1" w:rsidRPr="009628B1" w:rsidRDefault="009628B1" w:rsidP="009628B1">
      <w:pPr>
        <w:numPr>
          <w:ilvl w:val="0"/>
          <w:numId w:val="10"/>
        </w:numPr>
        <w:tabs>
          <w:tab w:val="left" w:pos="2268"/>
        </w:tabs>
        <w:spacing w:after="0" w:line="280" w:lineRule="atLeast"/>
        <w:rPr>
          <w:rFonts w:eastAsia="Calibri" w:cs="Times New Roman"/>
        </w:rPr>
      </w:pPr>
      <w:r w:rsidRPr="009628B1">
        <w:rPr>
          <w:rFonts w:eastAsia="Calibri" w:cs="Calibri"/>
        </w:rPr>
        <w:t>De Gemeente kan aanvullend op hetgeen beschreven in deel 2, artikel B Bestedingsruimte (inclusief het actuele plan zoals bedoeld in artikel D, lid 1, sub c, punt 7)</w:t>
      </w:r>
      <w:r w:rsidRPr="009628B1">
        <w:rPr>
          <w:rFonts w:eastAsia="Calibri" w:cs="Times New Roman"/>
        </w:rPr>
        <w:t xml:space="preserve">, een bestedingsruimte van toepassing verklaren op jeugdhulpaanbieders die niet aantoonbaar voldoen </w:t>
      </w:r>
      <w:r w:rsidRPr="009628B1">
        <w:rPr>
          <w:rFonts w:eastAsia="Calibri" w:cs="Calibri"/>
        </w:rPr>
        <w:t xml:space="preserve">aan </w:t>
      </w:r>
      <w:r w:rsidRPr="009628B1">
        <w:rPr>
          <w:rFonts w:eastAsia="Calibri" w:cs="Times New Roman"/>
        </w:rPr>
        <w:t xml:space="preserve">eis 36 zoals opgenomen in het Programma van Eisen. De bestedingsruimte dient dan om de afhankelijkheid van de Gemeente van de Jeugdhulpaanbieder (geleidelijk) tot een minimum te beperken. In afwijking van het gestelde in deel 2 Artikel B Bestedingsruimte </w:t>
      </w:r>
      <w:r w:rsidRPr="009628B1">
        <w:rPr>
          <w:rFonts w:eastAsia="Calibri" w:cs="Calibri"/>
        </w:rPr>
        <w:t>(inclusief het actuele plan zoals bedoeld in artikel D, lid 1, sub c, punt 7)</w:t>
      </w:r>
      <w:r w:rsidRPr="009628B1">
        <w:rPr>
          <w:rFonts w:eastAsia="Calibri" w:cs="Times New Roman"/>
        </w:rPr>
        <w:t xml:space="preserve">, dient de Gemeente de Jeugdhulpaanbieder tenminste een maand voorafgaand aan de ingangsdatum te informeren over het (voorgenomen) besluit. </w:t>
      </w:r>
    </w:p>
    <w:p w14:paraId="4F2D288D" w14:textId="77777777" w:rsidR="009628B1" w:rsidRPr="009628B1" w:rsidRDefault="009628B1" w:rsidP="009628B1">
      <w:pPr>
        <w:numPr>
          <w:ilvl w:val="0"/>
          <w:numId w:val="10"/>
        </w:numPr>
        <w:tabs>
          <w:tab w:val="left" w:pos="2268"/>
        </w:tabs>
        <w:spacing w:after="0" w:line="280" w:lineRule="atLeast"/>
        <w:rPr>
          <w:rFonts w:eastAsia="Calibri" w:cs="Times New Roman"/>
        </w:rPr>
      </w:pPr>
      <w:r w:rsidRPr="009628B1">
        <w:rPr>
          <w:rFonts w:eastAsia="Calibri" w:cs="Calibri"/>
        </w:rPr>
        <w:t xml:space="preserve">De Gemeente kan een tariefkorting toepassen </w:t>
      </w:r>
      <w:r w:rsidRPr="009628B1">
        <w:rPr>
          <w:rFonts w:eastAsia="Calibri" w:cs="Times New Roman"/>
        </w:rPr>
        <w:t xml:space="preserve">op jeugdhulpaanbieders die niet aantoonbaar voldoen </w:t>
      </w:r>
      <w:r w:rsidRPr="009628B1">
        <w:rPr>
          <w:rFonts w:eastAsia="Calibri" w:cs="Calibri"/>
        </w:rPr>
        <w:t xml:space="preserve">aan </w:t>
      </w:r>
      <w:r w:rsidRPr="009628B1">
        <w:rPr>
          <w:rFonts w:eastAsia="Calibri" w:cs="Times New Roman"/>
        </w:rPr>
        <w:t xml:space="preserve">eis 36 zoals opgenomen in het Programma van Eisen, in het bijzonder als er sprake is van exorbitante hoge winsten en/of beloningen. </w:t>
      </w:r>
    </w:p>
    <w:p w14:paraId="12797BF2" w14:textId="77777777" w:rsidR="009628B1" w:rsidRPr="009628B1" w:rsidRDefault="009628B1" w:rsidP="009628B1">
      <w:pPr>
        <w:numPr>
          <w:ilvl w:val="0"/>
          <w:numId w:val="10"/>
        </w:numPr>
        <w:tabs>
          <w:tab w:val="left" w:pos="2268"/>
        </w:tabs>
        <w:spacing w:after="0" w:line="280" w:lineRule="atLeast"/>
        <w:rPr>
          <w:rFonts w:eastAsia="Calibri" w:cs="Times New Roman"/>
        </w:rPr>
      </w:pPr>
      <w:r w:rsidRPr="009628B1">
        <w:rPr>
          <w:rFonts w:eastAsia="Calibri" w:cs="Times New Roman"/>
        </w:rPr>
        <w:t xml:space="preserve">Indien aanbieder niet aantoonbaar voldoet aan de eisen 31.11 t/m 31.16 zoals opgenomen in het Programma van Eisen, kan de Gemeente de verrichte betalingen terugvorderen. Alle betalingen waarvoor de Jeugdhulpaanbieder niet kan aantonen dat deze rechtmatig zijn gedeclareerd, worden teruggevorderd. </w:t>
      </w:r>
    </w:p>
    <w:p w14:paraId="5994BAC5" w14:textId="77777777" w:rsidR="009628B1" w:rsidRPr="009628B1" w:rsidRDefault="009628B1" w:rsidP="009628B1">
      <w:pPr>
        <w:tabs>
          <w:tab w:val="left" w:pos="2268"/>
        </w:tabs>
        <w:spacing w:after="0" w:line="280" w:lineRule="atLeast"/>
        <w:ind w:left="567"/>
        <w:rPr>
          <w:rFonts w:eastAsia="Calibri" w:cs="Times New Roman"/>
        </w:rPr>
      </w:pPr>
    </w:p>
    <w:p w14:paraId="738E44EA" w14:textId="3FCB3B1E" w:rsidR="00BD6F62" w:rsidRDefault="00BD6F62" w:rsidP="00BD6F62">
      <w:pPr>
        <w:pStyle w:val="Kop2"/>
        <w:rPr>
          <w:rFonts w:eastAsia="Times New Roman"/>
        </w:rPr>
      </w:pPr>
      <w:bookmarkStart w:id="13" w:name="_Toc184735466"/>
      <w:bookmarkStart w:id="14" w:name="_Toc178326097"/>
      <w:r>
        <w:rPr>
          <w:rFonts w:eastAsia="Times New Roman"/>
        </w:rPr>
        <w:t>Extra artikel communicatie bestedingsruimte en signaalplafond</w:t>
      </w:r>
      <w:bookmarkEnd w:id="13"/>
    </w:p>
    <w:p w14:paraId="18A00C57" w14:textId="77777777" w:rsidR="00BD6F62" w:rsidRDefault="00BD6F62" w:rsidP="009628B1">
      <w:pPr>
        <w:keepNext/>
        <w:keepLines/>
        <w:tabs>
          <w:tab w:val="left" w:pos="851"/>
        </w:tabs>
        <w:spacing w:after="0" w:line="280" w:lineRule="atLeast"/>
        <w:outlineLvl w:val="1"/>
        <w:rPr>
          <w:rFonts w:eastAsia="Times New Roman" w:cs="Times New Roman"/>
          <w:b/>
        </w:rPr>
      </w:pPr>
    </w:p>
    <w:p w14:paraId="39CDF8D3" w14:textId="33F6A837" w:rsidR="009628B1" w:rsidRPr="009628B1" w:rsidRDefault="009628B1" w:rsidP="00577866">
      <w:pPr>
        <w:pStyle w:val="Geenafstand"/>
        <w:rPr>
          <w:b/>
          <w:bCs/>
        </w:rPr>
      </w:pPr>
      <w:r w:rsidRPr="009628B1">
        <w:rPr>
          <w:b/>
          <w:bCs/>
        </w:rPr>
        <w:t>Artikel 1L</w:t>
      </w:r>
      <w:bookmarkEnd w:id="14"/>
      <w:r w:rsidRPr="009628B1">
        <w:rPr>
          <w:b/>
          <w:bCs/>
        </w:rPr>
        <w:t xml:space="preserve"> </w:t>
      </w:r>
    </w:p>
    <w:p w14:paraId="2DCF87A7" w14:textId="77777777" w:rsidR="009628B1" w:rsidRPr="009628B1" w:rsidRDefault="009628B1" w:rsidP="009628B1">
      <w:pPr>
        <w:keepNext/>
        <w:tabs>
          <w:tab w:val="left" w:pos="284"/>
          <w:tab w:val="left" w:pos="567"/>
        </w:tabs>
        <w:spacing w:after="0" w:line="280" w:lineRule="atLeast"/>
        <w:ind w:left="567"/>
        <w:rPr>
          <w:rFonts w:eastAsia="Calibri" w:cs="Times New Roman"/>
        </w:rPr>
      </w:pPr>
      <w:r w:rsidRPr="009628B1">
        <w:rPr>
          <w:rFonts w:eastAsia="Calibri" w:cs="Times New Roman"/>
        </w:rPr>
        <w:t xml:space="preserve">De Gemeente verstuurt schriftelijk een brief aan Jeugdhulpaanbieder met, voor zover van toepassing, het besluit betreffende de looptijd en omvang van signaalplafonds en bestedingsruimtes. Deze brief vormt een addendum op </w:t>
      </w:r>
      <w:r w:rsidRPr="009628B1">
        <w:rPr>
          <w:rFonts w:eastAsia="Calibri" w:cs="Times New Roman"/>
          <w:strike/>
        </w:rPr>
        <w:t>Deel 1B van</w:t>
      </w:r>
      <w:r w:rsidRPr="009628B1">
        <w:rPr>
          <w:rFonts w:eastAsia="Calibri" w:cs="Times New Roman"/>
        </w:rPr>
        <w:t xml:space="preserve"> deze overeenkomst.</w:t>
      </w:r>
    </w:p>
    <w:p w14:paraId="3C05AE3A" w14:textId="77777777" w:rsidR="00BD6F62" w:rsidRDefault="00BD6F62" w:rsidP="00BD6F62">
      <w:pPr>
        <w:tabs>
          <w:tab w:val="left" w:pos="2268"/>
        </w:tabs>
        <w:spacing w:after="0" w:line="280" w:lineRule="atLeast"/>
        <w:rPr>
          <w:rFonts w:eastAsia="Calibri" w:cs="Times New Roman"/>
        </w:rPr>
      </w:pPr>
    </w:p>
    <w:p w14:paraId="3D4D6BC2" w14:textId="5C80C279" w:rsidR="00BD6F62" w:rsidRDefault="00BD6F62" w:rsidP="00BD6F62">
      <w:pPr>
        <w:pStyle w:val="Kop2"/>
        <w:rPr>
          <w:rFonts w:eastAsia="Calibri"/>
        </w:rPr>
      </w:pPr>
      <w:bookmarkStart w:id="15" w:name="_Toc184735467"/>
      <w:r>
        <w:rPr>
          <w:rFonts w:eastAsia="Calibri"/>
        </w:rPr>
        <w:t>Extra artikel nadere afspraken</w:t>
      </w:r>
      <w:bookmarkEnd w:id="15"/>
      <w:r>
        <w:rPr>
          <w:rFonts w:eastAsia="Calibri"/>
        </w:rPr>
        <w:t xml:space="preserve"> </w:t>
      </w:r>
    </w:p>
    <w:p w14:paraId="482E1F08" w14:textId="77777777" w:rsidR="00BD6F62" w:rsidRPr="009628B1" w:rsidRDefault="00BD6F62" w:rsidP="009628B1">
      <w:pPr>
        <w:tabs>
          <w:tab w:val="left" w:pos="2268"/>
        </w:tabs>
        <w:spacing w:after="0" w:line="280" w:lineRule="atLeast"/>
        <w:ind w:left="567"/>
        <w:rPr>
          <w:rFonts w:eastAsia="Calibri" w:cs="Times New Roman"/>
        </w:rPr>
      </w:pPr>
    </w:p>
    <w:p w14:paraId="7B0736B4" w14:textId="77777777" w:rsidR="009628B1" w:rsidRPr="009628B1" w:rsidRDefault="009628B1" w:rsidP="00577866">
      <w:pPr>
        <w:pStyle w:val="Geenafstand"/>
        <w:rPr>
          <w:b/>
          <w:bCs/>
        </w:rPr>
      </w:pPr>
      <w:bookmarkStart w:id="16" w:name="_Toc178326098"/>
      <w:r w:rsidRPr="009628B1">
        <w:rPr>
          <w:b/>
          <w:bCs/>
        </w:rPr>
        <w:t>Artikel 1M</w:t>
      </w:r>
      <w:bookmarkEnd w:id="16"/>
      <w:r w:rsidRPr="009628B1">
        <w:rPr>
          <w:b/>
          <w:bCs/>
        </w:rPr>
        <w:t xml:space="preserve"> </w:t>
      </w:r>
    </w:p>
    <w:p w14:paraId="5ECA8622" w14:textId="77777777" w:rsidR="009628B1" w:rsidRPr="009628B1" w:rsidRDefault="009628B1" w:rsidP="009628B1">
      <w:pPr>
        <w:tabs>
          <w:tab w:val="left" w:pos="2268"/>
        </w:tabs>
        <w:spacing w:after="0" w:line="280" w:lineRule="atLeast"/>
        <w:ind w:left="567"/>
        <w:rPr>
          <w:rFonts w:eastAsia="Calibri" w:cs="Times New Roman"/>
        </w:rPr>
      </w:pPr>
      <w:r w:rsidRPr="009628B1">
        <w:rPr>
          <w:rFonts w:eastAsia="Calibri" w:cs="Times New Roman"/>
        </w:rPr>
        <w:t xml:space="preserve">Partijen kunnen gedurende de uitvoering van deze overeenkomst nadere afspraken maken. Partijen kunnen er gezamenlijk voor kiezen om deze afspraken toe te voegen aan </w:t>
      </w:r>
      <w:r w:rsidRPr="009628B1">
        <w:rPr>
          <w:rFonts w:eastAsia="Calibri" w:cs="Times New Roman"/>
          <w:strike/>
        </w:rPr>
        <w:t>dit 1B van</w:t>
      </w:r>
      <w:r w:rsidRPr="009628B1">
        <w:rPr>
          <w:rFonts w:eastAsia="Calibri" w:cs="Times New Roman"/>
        </w:rPr>
        <w:t xml:space="preserve"> de overeenkomst</w:t>
      </w:r>
    </w:p>
    <w:p w14:paraId="736530C8" w14:textId="77777777" w:rsidR="00BD6F62" w:rsidRDefault="00BD6F62" w:rsidP="009628B1">
      <w:pPr>
        <w:tabs>
          <w:tab w:val="left" w:pos="2268"/>
        </w:tabs>
        <w:spacing w:after="0" w:line="280" w:lineRule="atLeast"/>
        <w:ind w:left="567"/>
        <w:rPr>
          <w:rFonts w:eastAsia="Calibri" w:cs="Times New Roman"/>
        </w:rPr>
      </w:pPr>
    </w:p>
    <w:p w14:paraId="79A4CFDB" w14:textId="7046AB53" w:rsidR="00BD6F62" w:rsidRPr="00BD6F62" w:rsidRDefault="00BD6F62" w:rsidP="00BD6F62">
      <w:pPr>
        <w:pStyle w:val="Kop2"/>
        <w:rPr>
          <w:rFonts w:eastAsia="Calibri"/>
        </w:rPr>
      </w:pPr>
      <w:bookmarkStart w:id="17" w:name="_Toc184735468"/>
      <w:r>
        <w:rPr>
          <w:rFonts w:eastAsia="Calibri"/>
        </w:rPr>
        <w:t>Extra artikel kwaliteitssysteem</w:t>
      </w:r>
      <w:bookmarkEnd w:id="17"/>
      <w:r>
        <w:rPr>
          <w:rFonts w:eastAsia="Calibri"/>
        </w:rPr>
        <w:t xml:space="preserve"> </w:t>
      </w:r>
    </w:p>
    <w:p w14:paraId="6622F4A0" w14:textId="77777777" w:rsidR="00BD6F62" w:rsidRPr="009628B1" w:rsidRDefault="00BD6F62" w:rsidP="009628B1">
      <w:pPr>
        <w:tabs>
          <w:tab w:val="left" w:pos="2268"/>
        </w:tabs>
        <w:spacing w:after="0" w:line="280" w:lineRule="atLeast"/>
        <w:ind w:left="567"/>
        <w:rPr>
          <w:rFonts w:eastAsia="Calibri" w:cs="Times New Roman"/>
        </w:rPr>
      </w:pPr>
    </w:p>
    <w:p w14:paraId="09282A70" w14:textId="77777777" w:rsidR="009628B1" w:rsidRPr="009628B1" w:rsidRDefault="009628B1" w:rsidP="00577866">
      <w:pPr>
        <w:pStyle w:val="Geenafstand"/>
        <w:rPr>
          <w:b/>
          <w:bCs/>
        </w:rPr>
      </w:pPr>
      <w:bookmarkStart w:id="18" w:name="_Toc178326099"/>
      <w:r w:rsidRPr="009628B1">
        <w:rPr>
          <w:b/>
          <w:bCs/>
        </w:rPr>
        <w:t>Artikel 1N Kwaliteitssysteem</w:t>
      </w:r>
      <w:bookmarkEnd w:id="18"/>
      <w:r w:rsidRPr="009628B1">
        <w:rPr>
          <w:b/>
          <w:bCs/>
        </w:rPr>
        <w:t xml:space="preserve"> </w:t>
      </w:r>
    </w:p>
    <w:p w14:paraId="64F0C61B" w14:textId="1850D617" w:rsidR="009628B1" w:rsidRPr="009628B1" w:rsidRDefault="00153071" w:rsidP="00286AEE">
      <w:pPr>
        <w:pStyle w:val="Geenafstand"/>
      </w:pPr>
      <w:r>
        <w:t xml:space="preserve"> </w:t>
      </w:r>
      <w:r w:rsidR="009628B1" w:rsidRPr="009628B1">
        <w:t xml:space="preserve">1. Dit artikel is alleen van toepassing op Jeugdhulpaanbieder(s) die bij inschrijving hebben verklaard een traject te zijn gestart waarbij de verwachting was dat er uiterlijk 1 mei 2025 een voor de dienstverlening relevant certificaat/keurmerk wordt toegekend waaruit blijkt dat de Jeugdhulpaanbieder aantoonbaar met </w:t>
      </w:r>
      <w:r w:rsidR="00577866" w:rsidRPr="00286AEE">
        <w:t>e</w:t>
      </w:r>
      <w:r w:rsidR="009628B1" w:rsidRPr="009628B1">
        <w:t xml:space="preserve">en </w:t>
      </w:r>
      <w:r w:rsidR="009628B1" w:rsidRPr="009628B1">
        <w:lastRenderedPageBreak/>
        <w:t xml:space="preserve">kwaliteitssysteem werkt. </w:t>
      </w:r>
      <w:r w:rsidR="009628B1" w:rsidRPr="009628B1">
        <w:br/>
        <w:t xml:space="preserve">2. De Jeugdhulpaanbieder overlegt na verkrijging het certificaat/keurmerk aan de Gemeente. </w:t>
      </w:r>
    </w:p>
    <w:p w14:paraId="03ECD53A" w14:textId="77777777" w:rsidR="009628B1" w:rsidRPr="009628B1" w:rsidRDefault="009628B1" w:rsidP="00286AEE">
      <w:pPr>
        <w:pStyle w:val="Geenafstand"/>
      </w:pPr>
      <w:r w:rsidRPr="009628B1">
        <w:t>3. Indien de Jeugdhulpaanbieder er niet tijdig in slaagt om een relevant certificaat/keurmerk, zoals bedoeld in lid 1, te verkrijgen, dan is de Gemeente gerechtigd om zonder rechterlijke tussenkomst en zonder ingebrekestelling met onmiddellijke ingang de overeenkomst te ontbinden.</w:t>
      </w:r>
    </w:p>
    <w:p w14:paraId="5B990286" w14:textId="2A3E88E3" w:rsidR="00577866" w:rsidRDefault="009628B1" w:rsidP="00286AEE">
      <w:pPr>
        <w:pStyle w:val="Geenafstand"/>
      </w:pPr>
      <w:r w:rsidRPr="009628B1">
        <w:t>4. Indien de Jeugdhulpaanbieder er niet tijdig in slaagt om relevant certificaat/keurmerk, zoals bedoeld in lid 1, te overleggen en tijdig aan de Gemeente aantoont dat dit niet aan hem te wijten is, dan komen Partijen een nieuwe termijn overeen voor het behalen van het certificaat/keurmerk.</w:t>
      </w:r>
    </w:p>
    <w:p w14:paraId="7F6AD831" w14:textId="77777777" w:rsidR="00577866" w:rsidRDefault="00577866" w:rsidP="009628B1">
      <w:pPr>
        <w:keepNext/>
        <w:keepLines/>
        <w:tabs>
          <w:tab w:val="left" w:pos="851"/>
        </w:tabs>
        <w:spacing w:after="0" w:line="280" w:lineRule="atLeast"/>
        <w:outlineLvl w:val="1"/>
        <w:rPr>
          <w:rFonts w:eastAsia="Times New Roman" w:cs="Times New Roman"/>
          <w:b/>
        </w:rPr>
      </w:pPr>
    </w:p>
    <w:p w14:paraId="396EA0B6" w14:textId="141038EC" w:rsidR="00BD6F62" w:rsidRPr="009628B1" w:rsidRDefault="00BD6F62" w:rsidP="00BD6F62">
      <w:pPr>
        <w:pStyle w:val="Kop2"/>
        <w:rPr>
          <w:rFonts w:eastAsia="Times New Roman"/>
        </w:rPr>
      </w:pPr>
      <w:bookmarkStart w:id="19" w:name="_Toc184735469"/>
      <w:r>
        <w:rPr>
          <w:rFonts w:eastAsia="Times New Roman"/>
        </w:rPr>
        <w:t>Extra artikel ernstige beroepsfout en Bibob</w:t>
      </w:r>
      <w:bookmarkEnd w:id="19"/>
    </w:p>
    <w:p w14:paraId="6E3BA219" w14:textId="77777777" w:rsidR="009628B1" w:rsidRPr="00153071" w:rsidRDefault="009628B1" w:rsidP="00577866">
      <w:pPr>
        <w:pStyle w:val="Geenafstand"/>
      </w:pPr>
      <w:bookmarkStart w:id="20" w:name="_Toc178326100"/>
      <w:r w:rsidRPr="00153071">
        <w:t>Artikel O</w:t>
      </w:r>
      <w:bookmarkEnd w:id="20"/>
      <w:r w:rsidRPr="00153071">
        <w:t xml:space="preserve"> </w:t>
      </w:r>
    </w:p>
    <w:p w14:paraId="5CC94378" w14:textId="77777777" w:rsidR="00153071" w:rsidRDefault="009628B1" w:rsidP="00153071">
      <w:pPr>
        <w:pStyle w:val="Geenafstand"/>
      </w:pPr>
      <w:r w:rsidRPr="009628B1">
        <w:t>1. De Gemeente kan, onverminderd het bepaalde in andere bepalingen in deze overeenkomst en artikel 25 van de Algemen</w:t>
      </w:r>
      <w:r w:rsidR="00577866" w:rsidRPr="00286AEE">
        <w:t>e</w:t>
      </w:r>
      <w:r w:rsidRPr="009628B1">
        <w:t xml:space="preserve"> inkoopvoorwaarden de overeenkomst zonder rechterlijke tussenkomst en zonde</w:t>
      </w:r>
      <w:r w:rsidR="00577866" w:rsidRPr="00286AEE">
        <w:t>r</w:t>
      </w:r>
      <w:r w:rsidR="00286AEE">
        <w:t xml:space="preserve"> </w:t>
      </w:r>
      <w:r w:rsidR="00577866" w:rsidRPr="00286AEE">
        <w:t>i</w:t>
      </w:r>
      <w:r w:rsidRPr="009628B1">
        <w:t>ngebrekestelling met onmiddellijke ingang te ontbinden, indien gedurende de looptijd van de overeenkomst</w:t>
      </w:r>
      <w:r w:rsidRPr="00153071">
        <w:t xml:space="preserve">: </w:t>
      </w:r>
    </w:p>
    <w:p w14:paraId="088D868E" w14:textId="77777777" w:rsidR="00153071" w:rsidRDefault="009628B1" w:rsidP="00153071">
      <w:pPr>
        <w:pStyle w:val="Geenafstand"/>
        <w:numPr>
          <w:ilvl w:val="0"/>
          <w:numId w:val="16"/>
        </w:numPr>
      </w:pPr>
      <w:r w:rsidRPr="00153071">
        <w:t xml:space="preserve">na Bibob-onderzoek is vastgesteld dat sprake is van een van de uitsluitingsgronden van artikel 2.86 of 2.87 van de Aanbestedingswet 2012, genoemd in het inkoopdocument; </w:t>
      </w:r>
    </w:p>
    <w:p w14:paraId="66A61D8F" w14:textId="77777777" w:rsidR="00153071" w:rsidRDefault="009628B1" w:rsidP="00153071">
      <w:pPr>
        <w:pStyle w:val="Geenafstand"/>
        <w:numPr>
          <w:ilvl w:val="0"/>
          <w:numId w:val="16"/>
        </w:numPr>
      </w:pPr>
      <w:r w:rsidRPr="00153071">
        <w:t xml:space="preserve">na Bibob-onderzoek is vastgesteld dat de mogelijkheid bestaat dat Jeugdhulpaanbieder of diens Onderaannemer wordt gefinancierd met uit gepleegde strafbare feiten verkregen of te verkrijgen -op geld waardeerbare- voordelen; </w:t>
      </w:r>
    </w:p>
    <w:p w14:paraId="2E95AE97" w14:textId="77777777" w:rsidR="00153071" w:rsidRDefault="009628B1" w:rsidP="00153071">
      <w:pPr>
        <w:pStyle w:val="Geenafstand"/>
        <w:numPr>
          <w:ilvl w:val="0"/>
          <w:numId w:val="16"/>
        </w:numPr>
      </w:pPr>
      <w:r w:rsidRPr="00153071">
        <w:t xml:space="preserve">na Bibob-onderzoek is vastgesteld dat sprake is van gevaar of een mindere mate van gevaar als bedoeld in artikel 9 van de Wet Bibob dat Jeugdhulpaanbieder of diens Onderaannemer bij de uitvoering van de met de overeenkomst gegunde opdracht, strafbare feiten zal plegen; </w:t>
      </w:r>
    </w:p>
    <w:p w14:paraId="783F07AD" w14:textId="77777777" w:rsidR="00153071" w:rsidRDefault="009628B1" w:rsidP="00153071">
      <w:pPr>
        <w:pStyle w:val="Geenafstand"/>
        <w:numPr>
          <w:ilvl w:val="0"/>
          <w:numId w:val="16"/>
        </w:numPr>
      </w:pPr>
      <w:r w:rsidRPr="00153071">
        <w:t xml:space="preserve">na Bibob-onderzoek is vastgesteld dat de Jeugdhulpaanbieder of diens Onderaannemer niet langer voldoet aan de geschiktheidseisen op het gebied van de financiële en economische draagkracht conform het inkoopdocument, inclusief het daarbij horende programma van eisen; </w:t>
      </w:r>
    </w:p>
    <w:p w14:paraId="29326643" w14:textId="5A548A00" w:rsidR="009628B1" w:rsidRPr="00153071" w:rsidRDefault="009628B1" w:rsidP="00153071">
      <w:pPr>
        <w:pStyle w:val="Geenafstand"/>
        <w:numPr>
          <w:ilvl w:val="0"/>
          <w:numId w:val="16"/>
        </w:numPr>
      </w:pPr>
      <w:r w:rsidRPr="00153071">
        <w:t xml:space="preserve">na Bibob-onderzoek is vastgesteld dat de Jeugdhulpaanbieder of diens Onderaannemer een ernstige fout in de uitoefening van zijn beroep heeft begaan, waardoor zijn integriteit in twijfel kan worden getrokken. </w:t>
      </w:r>
    </w:p>
    <w:p w14:paraId="0D89EB4A" w14:textId="77777777" w:rsidR="009628B1" w:rsidRPr="00153071" w:rsidRDefault="009628B1" w:rsidP="00153071">
      <w:pPr>
        <w:pStyle w:val="Geenafstand"/>
      </w:pPr>
      <w:r w:rsidRPr="00153071">
        <w:t>2. Het ontbindingsbeding in het eerste lid kwalificeert als een beding zoals bedoeld in artikel 5, tweede lid, onder b van de Wet Bibob.</w:t>
      </w:r>
    </w:p>
    <w:p w14:paraId="13769ED7" w14:textId="77777777" w:rsidR="00153071" w:rsidRDefault="009628B1" w:rsidP="00153071">
      <w:pPr>
        <w:pStyle w:val="Geenafstand"/>
      </w:pPr>
      <w:r w:rsidRPr="00153071">
        <w:t>3. De Gemeente kan de ernstige beroepsfout zoals gedefinieerd onder deel 1, artikel D in ieder geval, maar niet uitsluitend, aannemelijk maken door:</w:t>
      </w:r>
    </w:p>
    <w:p w14:paraId="0747B24B" w14:textId="77777777" w:rsidR="00153071" w:rsidRDefault="009628B1" w:rsidP="00153071">
      <w:pPr>
        <w:pStyle w:val="Geenafstand"/>
        <w:numPr>
          <w:ilvl w:val="0"/>
          <w:numId w:val="17"/>
        </w:numPr>
      </w:pPr>
      <w:r w:rsidRPr="00153071">
        <w:t>Erkenning van de fout door Jeugdhulpaanbieder;</w:t>
      </w:r>
    </w:p>
    <w:p w14:paraId="339504F7" w14:textId="77777777" w:rsidR="00153071" w:rsidRDefault="009628B1" w:rsidP="00153071">
      <w:pPr>
        <w:pStyle w:val="Geenafstand"/>
        <w:numPr>
          <w:ilvl w:val="0"/>
          <w:numId w:val="17"/>
        </w:numPr>
      </w:pPr>
      <w:r w:rsidRPr="00153071">
        <w:t>Eigen ervaring van voor de Gemeente werkzame ambtenaren, ambtsdragers of door de Gemeente ingehuurd personeel;</w:t>
      </w:r>
    </w:p>
    <w:p w14:paraId="627590C7" w14:textId="77777777" w:rsidR="00153071" w:rsidRDefault="009628B1" w:rsidP="00153071">
      <w:pPr>
        <w:pStyle w:val="Geenafstand"/>
        <w:numPr>
          <w:ilvl w:val="0"/>
          <w:numId w:val="17"/>
        </w:numPr>
      </w:pPr>
      <w:r w:rsidRPr="00153071">
        <w:t>Een rechterlijke uitspraak, bindend advies of arbitrale of tuchtrechtelijke uitspraak;</w:t>
      </w:r>
    </w:p>
    <w:p w14:paraId="47CC64B0" w14:textId="77777777" w:rsidR="00153071" w:rsidRDefault="009628B1" w:rsidP="00153071">
      <w:pPr>
        <w:pStyle w:val="Geenafstand"/>
        <w:numPr>
          <w:ilvl w:val="0"/>
          <w:numId w:val="17"/>
        </w:numPr>
      </w:pPr>
      <w:r w:rsidRPr="00153071">
        <w:t>Een strafrechtelijke transactie, een fiscale ruling of fiscale vaststellingsovereenkomst;</w:t>
      </w:r>
    </w:p>
    <w:p w14:paraId="17CD9622" w14:textId="77777777" w:rsidR="00153071" w:rsidRDefault="009628B1" w:rsidP="00153071">
      <w:pPr>
        <w:pStyle w:val="Geenafstand"/>
        <w:numPr>
          <w:ilvl w:val="0"/>
          <w:numId w:val="17"/>
        </w:numPr>
      </w:pPr>
      <w:r w:rsidRPr="00153071">
        <w:t>Een (niet onherroepelijke) fiscale vergrijpboete;</w:t>
      </w:r>
    </w:p>
    <w:p w14:paraId="77E5B9DE" w14:textId="77777777" w:rsidR="00153071" w:rsidRDefault="009628B1" w:rsidP="00153071">
      <w:pPr>
        <w:pStyle w:val="Geenafstand"/>
        <w:numPr>
          <w:ilvl w:val="0"/>
          <w:numId w:val="17"/>
        </w:numPr>
      </w:pPr>
      <w:r w:rsidRPr="00153071">
        <w:t>Het uitvoeren van een onderzoek op grond van de Wet bevordering integriteitsbeoordelingen door het openbaar bestuur (Bibob);</w:t>
      </w:r>
    </w:p>
    <w:p w14:paraId="71B61550" w14:textId="77777777" w:rsidR="00153071" w:rsidRDefault="009628B1" w:rsidP="00153071">
      <w:pPr>
        <w:pStyle w:val="Geenafstand"/>
        <w:numPr>
          <w:ilvl w:val="0"/>
          <w:numId w:val="17"/>
        </w:numPr>
      </w:pPr>
      <w:r w:rsidRPr="00153071">
        <w:t xml:space="preserve">Een relevante constatering van een daartoe bevoegde toezichthouder of een geschillencommissie; </w:t>
      </w:r>
    </w:p>
    <w:p w14:paraId="162279C2" w14:textId="61F43C31" w:rsidR="009628B1" w:rsidRPr="00153071" w:rsidRDefault="009628B1" w:rsidP="00153071">
      <w:pPr>
        <w:pStyle w:val="Geenafstand"/>
        <w:numPr>
          <w:ilvl w:val="0"/>
          <w:numId w:val="17"/>
        </w:numPr>
      </w:pPr>
      <w:r w:rsidRPr="00153071">
        <w:t>Een lopend strafrechtelijk onderzoek.</w:t>
      </w:r>
    </w:p>
    <w:p w14:paraId="43A5D16E" w14:textId="77777777" w:rsidR="009628B1" w:rsidRPr="00153071" w:rsidRDefault="009628B1" w:rsidP="00153071">
      <w:pPr>
        <w:pStyle w:val="Geenafstand"/>
      </w:pPr>
      <w:r w:rsidRPr="00153071">
        <w:t>De feiten en omstandigheden die voor het onderzoek naar de aanwezigheid van een ernstige beroepsfout relevant zijn worden altijd in concreto en individueel beoordeeld, waarbij de artikelen 2.87 lid 2, 2.87a,  2.88 onder a en  2.88 onder b van de Aanbestedingswet van toepassing zijn.</w:t>
      </w:r>
    </w:p>
    <w:p w14:paraId="2D9DB87E" w14:textId="77777777" w:rsidR="00BD6F62" w:rsidRDefault="00BD6F62" w:rsidP="00BD6F62">
      <w:pPr>
        <w:pStyle w:val="Kop2"/>
        <w:rPr>
          <w:rFonts w:eastAsia="Times New Roman"/>
        </w:rPr>
      </w:pPr>
    </w:p>
    <w:p w14:paraId="4B604D84" w14:textId="31C6AB13" w:rsidR="009628B1" w:rsidRDefault="00BD6F62" w:rsidP="00BD6F62">
      <w:pPr>
        <w:pStyle w:val="Kop2"/>
        <w:rPr>
          <w:rFonts w:eastAsia="Times New Roman"/>
        </w:rPr>
      </w:pPr>
      <w:bookmarkStart w:id="21" w:name="_Toc184735470"/>
      <w:r>
        <w:rPr>
          <w:rFonts w:eastAsia="Times New Roman"/>
        </w:rPr>
        <w:t>Extra artikel overdracht bij einde overeenkomst</w:t>
      </w:r>
      <w:bookmarkEnd w:id="21"/>
    </w:p>
    <w:p w14:paraId="488A91A7" w14:textId="77777777" w:rsidR="009628B1" w:rsidRPr="00153071" w:rsidRDefault="009628B1" w:rsidP="00153071">
      <w:pPr>
        <w:pStyle w:val="Geenafstand"/>
        <w:rPr>
          <w:b/>
          <w:bCs/>
        </w:rPr>
      </w:pPr>
      <w:bookmarkStart w:id="22" w:name="_Toc178326101"/>
      <w:r w:rsidRPr="00153071">
        <w:rPr>
          <w:b/>
          <w:bCs/>
        </w:rPr>
        <w:t>Artikel 1P</w:t>
      </w:r>
      <w:bookmarkEnd w:id="22"/>
    </w:p>
    <w:p w14:paraId="07027F33" w14:textId="77777777" w:rsidR="009628B1" w:rsidRPr="009628B1" w:rsidRDefault="009628B1" w:rsidP="009628B1">
      <w:pPr>
        <w:numPr>
          <w:ilvl w:val="0"/>
          <w:numId w:val="9"/>
        </w:numPr>
        <w:spacing w:after="0" w:line="240" w:lineRule="auto"/>
        <w:rPr>
          <w:rFonts w:eastAsia="Calibri" w:cs="Calibri"/>
        </w:rPr>
      </w:pPr>
      <w:r w:rsidRPr="009628B1">
        <w:rPr>
          <w:rFonts w:eastAsia="Calibri" w:cs="Calibri"/>
        </w:rPr>
        <w:t xml:space="preserve">Indien overeenkomst eindigt, van rechtswege, door ontbinding, of anderszins, spant de Jeugdhulpaanbieder zich maximaal in om een warme, zorgvuldige en vlotte overdracht van en ononderbroken voortzetting van ondersteuning voor cliënten te realiseren. De Jeugdhulpaanbieder waarborgt de kwaliteit van de dienstverlening voor alle cliënten met een lopende indicatie die nog niet zijn overgedragen. </w:t>
      </w:r>
    </w:p>
    <w:p w14:paraId="05D67E9B" w14:textId="77777777" w:rsidR="009628B1" w:rsidRPr="009628B1" w:rsidRDefault="009628B1" w:rsidP="009628B1">
      <w:pPr>
        <w:numPr>
          <w:ilvl w:val="0"/>
          <w:numId w:val="9"/>
        </w:numPr>
        <w:spacing w:after="0" w:line="240" w:lineRule="auto"/>
        <w:rPr>
          <w:rFonts w:eastAsia="Calibri" w:cs="Calibri"/>
        </w:rPr>
      </w:pPr>
      <w:r w:rsidRPr="009628B1">
        <w:rPr>
          <w:rFonts w:eastAsia="Calibri" w:cs="Calibri"/>
        </w:rPr>
        <w:t xml:space="preserve">De Gemeente bepaalt een datum waarop alle cliënten </w:t>
      </w:r>
      <w:r w:rsidRPr="009628B1">
        <w:rPr>
          <w:rFonts w:eastAsia="Calibri" w:cs="Calibri"/>
          <w:i/>
        </w:rPr>
        <w:t>uiterlijk</w:t>
      </w:r>
      <w:r w:rsidRPr="009628B1">
        <w:rPr>
          <w:rFonts w:eastAsia="Calibri" w:cs="Calibri"/>
        </w:rPr>
        <w:t xml:space="preserve"> moeten zijn overgedragen. Deze datum kan ná de einddatum van de overeenkomst liggen. In de situatie waarbij de uiterlijke datum voor overdracht na de einddatum van de overeenkomst ligt, blijven de voorwaarden van de overeenkomsten gelden tot de door de Gemeente bepaalde uiterlijke datum voor overdracht. </w:t>
      </w:r>
    </w:p>
    <w:p w14:paraId="10C3A0D5" w14:textId="77777777" w:rsidR="009628B1" w:rsidRPr="009628B1" w:rsidRDefault="009628B1" w:rsidP="009628B1">
      <w:pPr>
        <w:numPr>
          <w:ilvl w:val="0"/>
          <w:numId w:val="9"/>
        </w:numPr>
        <w:spacing w:after="0" w:line="240" w:lineRule="auto"/>
        <w:rPr>
          <w:rFonts w:eastAsia="Calibri" w:cs="Calibri"/>
        </w:rPr>
      </w:pPr>
      <w:r w:rsidRPr="009628B1">
        <w:rPr>
          <w:rFonts w:eastAsia="Calibri" w:cs="Calibri"/>
        </w:rPr>
        <w:lastRenderedPageBreak/>
        <w:t xml:space="preserve">De Gemeente bepaalt ook een datum tot wanneer de Jeugdhulpaanbieder trajecten met nieuwe cliënten mag starten. Uitgangspunt hierbij is dat er geen trajecten met nieuwe cliënten worden gestart als de verwachting is dat de hulp pas ná de einddatum van de overeenkomst kan starten.  </w:t>
      </w:r>
    </w:p>
    <w:p w14:paraId="3BFDB869" w14:textId="77777777" w:rsidR="009628B1" w:rsidRPr="009628B1" w:rsidRDefault="009628B1" w:rsidP="009628B1">
      <w:pPr>
        <w:numPr>
          <w:ilvl w:val="0"/>
          <w:numId w:val="9"/>
        </w:numPr>
        <w:spacing w:after="0" w:line="240" w:lineRule="auto"/>
        <w:rPr>
          <w:rFonts w:eastAsia="Calibri" w:cs="Calibri"/>
        </w:rPr>
      </w:pPr>
      <w:r w:rsidRPr="009628B1">
        <w:rPr>
          <w:rFonts w:eastAsia="Calibri" w:cs="Calibri"/>
        </w:rPr>
        <w:t>Indien deze overeenkomst eindigt, dan kan de Gemeente ervoor kiezen dat cliënten hun hulp mogen voortzetten bij de huidige Jeugdhulpaanbieder tot het bereiken van de einde van de toewijzing én uiterlijk de door de Gemeente bepaalde datum zoals bedoeld in lid 2.</w:t>
      </w:r>
    </w:p>
    <w:p w14:paraId="0F98745B" w14:textId="77777777" w:rsidR="009628B1" w:rsidRDefault="009628B1" w:rsidP="009628B1">
      <w:pPr>
        <w:numPr>
          <w:ilvl w:val="0"/>
          <w:numId w:val="9"/>
        </w:numPr>
        <w:spacing w:after="0" w:line="240" w:lineRule="auto"/>
        <w:rPr>
          <w:rFonts w:eastAsia="Calibri" w:cs="Calibri"/>
        </w:rPr>
      </w:pPr>
      <w:r w:rsidRPr="009628B1">
        <w:rPr>
          <w:rFonts w:eastAsia="Calibri" w:cs="Calibri"/>
        </w:rPr>
        <w:t>Bij ontbinding of het opzeggen van overeenkomst wegens het tekortschieten in de nakoming van de verplichtingen van de overeenkomst is de Jeugdhulpaanbieder gehouden de kosten te vergoeden die de Gemeente moet maken, omdat de Jeugdhulpaanbieder de genoemde contractuele verplichtingen niet nakomt, waaronder de kosten van rechtsbijstand, tenzij al rechtens is vastgesteld dat de Jeugdhulpaanbieder geen enkel verwijt gemaakt kan worden. De Jeugdhulpaanbieder vrijwaart Opdrachtgever van aansprakelijkheid voor vorderingen die derden tegen de Gemeente in verband met het tekortschieten in de nakoming van de verplichtingen van de Jeugdhulpaanbieder op grond van deze overeenkomst hebben.</w:t>
      </w:r>
    </w:p>
    <w:p w14:paraId="558FAC25" w14:textId="77777777" w:rsidR="00577866" w:rsidRDefault="00577866" w:rsidP="00577866">
      <w:pPr>
        <w:spacing w:after="0" w:line="240" w:lineRule="auto"/>
        <w:rPr>
          <w:rFonts w:eastAsia="Calibri" w:cs="Calibri"/>
        </w:rPr>
      </w:pPr>
    </w:p>
    <w:p w14:paraId="402C71B7" w14:textId="3ED742BE" w:rsidR="00577866" w:rsidRDefault="00577866" w:rsidP="00577866">
      <w:pPr>
        <w:pStyle w:val="Kop2"/>
        <w:rPr>
          <w:rFonts w:eastAsia="Calibri"/>
        </w:rPr>
      </w:pPr>
      <w:bookmarkStart w:id="23" w:name="_Toc184735471"/>
      <w:r>
        <w:rPr>
          <w:rFonts w:eastAsia="Calibri"/>
        </w:rPr>
        <w:t>Specificatie artikel Herzieningsclausules</w:t>
      </w:r>
      <w:bookmarkEnd w:id="23"/>
      <w:r>
        <w:rPr>
          <w:rFonts w:eastAsia="Calibri"/>
        </w:rPr>
        <w:t xml:space="preserve"> </w:t>
      </w:r>
    </w:p>
    <w:p w14:paraId="3DDBF2D8" w14:textId="77777777" w:rsidR="00577866" w:rsidRPr="009628B1" w:rsidRDefault="00577866" w:rsidP="00577866">
      <w:pPr>
        <w:tabs>
          <w:tab w:val="left" w:pos="2268"/>
        </w:tabs>
        <w:spacing w:after="0" w:line="280" w:lineRule="atLeast"/>
        <w:rPr>
          <w:rFonts w:eastAsia="Calibri" w:cs="Times New Roman"/>
          <w:iCs/>
        </w:rPr>
      </w:pPr>
      <w:r w:rsidRPr="009628B1">
        <w:rPr>
          <w:rFonts w:eastAsia="Calibri" w:cs="Times New Roman"/>
          <w:iCs/>
        </w:rPr>
        <w:t>‘De Gemeente kan de overeenkomst tussentijds wijzigen. De wijzigingen kunnen aanvullend op artikel 24 lid 3 zien op:</w:t>
      </w:r>
    </w:p>
    <w:p w14:paraId="3A001FD6" w14:textId="77777777" w:rsidR="00577866" w:rsidRPr="009628B1" w:rsidRDefault="00577866" w:rsidP="00577866">
      <w:pPr>
        <w:tabs>
          <w:tab w:val="left" w:pos="2268"/>
        </w:tabs>
        <w:spacing w:after="0" w:line="280" w:lineRule="atLeast"/>
        <w:ind w:left="567"/>
        <w:rPr>
          <w:rFonts w:eastAsia="Calibri" w:cs="Times New Roman"/>
          <w:iCs/>
        </w:rPr>
      </w:pPr>
    </w:p>
    <w:p w14:paraId="46CFE239" w14:textId="77777777" w:rsidR="00577866" w:rsidRDefault="00577866" w:rsidP="00577866">
      <w:pPr>
        <w:tabs>
          <w:tab w:val="left" w:pos="2268"/>
        </w:tabs>
        <w:spacing w:after="0" w:line="280" w:lineRule="atLeast"/>
        <w:rPr>
          <w:rFonts w:eastAsia="Calibri" w:cs="Times New Roman"/>
          <w:iCs/>
          <w:u w:val="single"/>
        </w:rPr>
      </w:pPr>
      <w:r w:rsidRPr="009628B1">
        <w:rPr>
          <w:rFonts w:eastAsia="Calibri" w:cs="Times New Roman"/>
          <w:iCs/>
          <w:u w:val="single"/>
        </w:rPr>
        <w:t xml:space="preserve">De signaalplafonds en bestedingsruimte </w:t>
      </w:r>
    </w:p>
    <w:p w14:paraId="0D3525E5" w14:textId="77777777" w:rsidR="00577866" w:rsidRPr="00577866" w:rsidRDefault="00577866" w:rsidP="00577866">
      <w:pPr>
        <w:pStyle w:val="Lijstalinea"/>
        <w:numPr>
          <w:ilvl w:val="0"/>
          <w:numId w:val="13"/>
        </w:numPr>
        <w:tabs>
          <w:tab w:val="left" w:pos="2268"/>
        </w:tabs>
        <w:spacing w:after="0" w:line="280" w:lineRule="atLeast"/>
        <w:rPr>
          <w:rFonts w:eastAsia="Calibri" w:cs="Times New Roman"/>
          <w:iCs/>
          <w:u w:val="single"/>
        </w:rPr>
      </w:pPr>
      <w:r w:rsidRPr="00577866">
        <w:rPr>
          <w:rFonts w:eastAsia="Calibri" w:cs="Times New Roman"/>
          <w:iCs/>
        </w:rPr>
        <w:t xml:space="preserve">De Gemeente kan (gedurende het lopende kalenderjaar), in lijn met de voorwaarden genoemd in ‘deel 1B, artikel 4 signaalplafonds’ overgaan tot het gebruik van of tot het wijzigen van de omvang van signaalplafonds voor (categorieën van) jeugdhulpvormen. </w:t>
      </w:r>
    </w:p>
    <w:p w14:paraId="21F5DFC4" w14:textId="77777777" w:rsidR="00577866" w:rsidRPr="00577866" w:rsidRDefault="00577866" w:rsidP="00577866">
      <w:pPr>
        <w:pStyle w:val="Lijstalinea"/>
        <w:numPr>
          <w:ilvl w:val="0"/>
          <w:numId w:val="13"/>
        </w:numPr>
        <w:tabs>
          <w:tab w:val="left" w:pos="2268"/>
        </w:tabs>
        <w:spacing w:after="0" w:line="280" w:lineRule="atLeast"/>
        <w:rPr>
          <w:rFonts w:eastAsia="Calibri" w:cs="Times New Roman"/>
          <w:iCs/>
          <w:u w:val="single"/>
        </w:rPr>
      </w:pPr>
      <w:r w:rsidRPr="00577866">
        <w:rPr>
          <w:rFonts w:eastAsia="Calibri" w:cs="Times New Roman"/>
          <w:iCs/>
        </w:rPr>
        <w:t xml:space="preserve">De Gemeente kan (gedurende het lopende kalenderjaar), in lijn met de voorwaarden genoemd in ‘deel 2, artikel B Bestedingsruimte’ overgaan tot het gebruik van of tot het wijzigen van de omvang van bestedingsruimte voor (categorieën van) jeugdhulpvormen. </w:t>
      </w:r>
    </w:p>
    <w:p w14:paraId="12BC8224" w14:textId="77777777" w:rsidR="00577866" w:rsidRPr="00577866" w:rsidRDefault="00577866" w:rsidP="00577866">
      <w:pPr>
        <w:pStyle w:val="Lijstalinea"/>
        <w:numPr>
          <w:ilvl w:val="0"/>
          <w:numId w:val="13"/>
        </w:numPr>
        <w:tabs>
          <w:tab w:val="left" w:pos="2268"/>
        </w:tabs>
        <w:spacing w:after="0" w:line="280" w:lineRule="atLeast"/>
        <w:rPr>
          <w:rFonts w:eastAsia="Calibri" w:cs="Times New Roman"/>
          <w:iCs/>
          <w:u w:val="single"/>
        </w:rPr>
      </w:pPr>
      <w:r w:rsidRPr="00577866">
        <w:rPr>
          <w:rFonts w:eastAsia="Calibri" w:cs="Times New Roman"/>
          <w:iCs/>
        </w:rPr>
        <w:t>De Gemeente kan gedurende het lopende kalenderjaar overgaan van een signaalplafond naar bestedingsruimte. Bij deze overgang gelden de voorwaarden genoemd in ‘deel 2, artikel B Bestedingsruimte’. De ingangsdatum van de bestedingsruimte kan vóór de einddatum van het signaalplafond liggen. In dat geval vervalt het signaalplafond vanaf de ingangsdatum van de bestedingsruimte</w:t>
      </w:r>
    </w:p>
    <w:p w14:paraId="291594A1" w14:textId="77777777" w:rsidR="00577866" w:rsidRPr="00577866" w:rsidRDefault="00577866" w:rsidP="00577866">
      <w:pPr>
        <w:pStyle w:val="Lijstalinea"/>
        <w:numPr>
          <w:ilvl w:val="0"/>
          <w:numId w:val="13"/>
        </w:numPr>
        <w:tabs>
          <w:tab w:val="left" w:pos="2268"/>
        </w:tabs>
        <w:spacing w:after="0" w:line="280" w:lineRule="atLeast"/>
        <w:rPr>
          <w:rFonts w:eastAsia="Calibri" w:cs="Times New Roman"/>
          <w:iCs/>
          <w:u w:val="single"/>
        </w:rPr>
      </w:pPr>
      <w:r w:rsidRPr="00577866">
        <w:rPr>
          <w:rFonts w:eastAsia="Calibri" w:cs="Times New Roman"/>
          <w:iCs/>
        </w:rPr>
        <w:t xml:space="preserve">De Gemeente kan (gedurende het lopende kalenderjaar) een signaalplafond/bestedingsruimte van een Jeugdhulpaanbieder verlagen als de bekostigingssystematiek voor een deel van de jeugdhulp geboden door deze aanbieder wijzigt. Het bedrag wordt dan verdisconteerd in het signaalplafond/de bestedingsruimte. Hierbij moet in het bijzonder worden gedacht aan Zorg Binnen Onderwijs op speciaal onderwijs. </w:t>
      </w:r>
    </w:p>
    <w:p w14:paraId="4804146C" w14:textId="7DE3D955" w:rsidR="00577866" w:rsidRPr="00577866" w:rsidRDefault="00577866" w:rsidP="00577866">
      <w:pPr>
        <w:pStyle w:val="Lijstalinea"/>
        <w:numPr>
          <w:ilvl w:val="0"/>
          <w:numId w:val="13"/>
        </w:numPr>
        <w:tabs>
          <w:tab w:val="left" w:pos="2268"/>
        </w:tabs>
        <w:spacing w:after="0" w:line="280" w:lineRule="atLeast"/>
        <w:rPr>
          <w:rFonts w:eastAsia="Calibri" w:cs="Times New Roman"/>
          <w:iCs/>
          <w:u w:val="single"/>
        </w:rPr>
      </w:pPr>
      <w:r w:rsidRPr="00577866">
        <w:rPr>
          <w:rFonts w:eastAsia="Calibri" w:cs="Times New Roman"/>
          <w:iCs/>
        </w:rPr>
        <w:t>De Gemeente kan Bijlage 4 Signaalplafonds en bestedingsruimte wijzigen in lijn met de voorwaarden genoemd in deel 2, artikel B Bestedingsruimte en deel 1B artikel Signaalplafonds.</w:t>
      </w:r>
    </w:p>
    <w:p w14:paraId="5F9060C7" w14:textId="77777777" w:rsidR="00577866" w:rsidRPr="009628B1" w:rsidRDefault="00577866" w:rsidP="00577866">
      <w:pPr>
        <w:tabs>
          <w:tab w:val="left" w:pos="2268"/>
        </w:tabs>
        <w:spacing w:after="0" w:line="280" w:lineRule="atLeast"/>
        <w:ind w:left="567"/>
        <w:rPr>
          <w:rFonts w:eastAsia="Calibri" w:cs="Times New Roman"/>
          <w:iCs/>
          <w:u w:val="single"/>
        </w:rPr>
      </w:pPr>
    </w:p>
    <w:p w14:paraId="011758A3" w14:textId="77777777" w:rsidR="00577866" w:rsidRDefault="00577866" w:rsidP="00577866">
      <w:pPr>
        <w:tabs>
          <w:tab w:val="left" w:pos="2268"/>
        </w:tabs>
        <w:spacing w:after="0" w:line="280" w:lineRule="atLeast"/>
        <w:rPr>
          <w:rFonts w:eastAsia="Calibri" w:cs="Times New Roman"/>
          <w:iCs/>
          <w:u w:val="single"/>
        </w:rPr>
      </w:pPr>
      <w:r w:rsidRPr="009628B1">
        <w:rPr>
          <w:rFonts w:eastAsia="Calibri" w:cs="Times New Roman"/>
          <w:iCs/>
          <w:u w:val="single"/>
        </w:rPr>
        <w:t>Producten en tarieven</w:t>
      </w:r>
    </w:p>
    <w:p w14:paraId="36007CF8" w14:textId="77777777" w:rsidR="00577866" w:rsidRPr="00577866" w:rsidRDefault="00577866" w:rsidP="00577866">
      <w:pPr>
        <w:pStyle w:val="Lijstalinea"/>
        <w:numPr>
          <w:ilvl w:val="0"/>
          <w:numId w:val="14"/>
        </w:numPr>
        <w:tabs>
          <w:tab w:val="left" w:pos="2268"/>
        </w:tabs>
        <w:spacing w:after="0" w:line="280" w:lineRule="atLeast"/>
        <w:rPr>
          <w:rFonts w:eastAsia="Calibri" w:cs="Times New Roman"/>
          <w:iCs/>
          <w:u w:val="single"/>
        </w:rPr>
      </w:pPr>
      <w:r w:rsidRPr="00577866">
        <w:rPr>
          <w:rFonts w:eastAsia="Calibri" w:cs="Times New Roman"/>
          <w:iCs/>
        </w:rPr>
        <w:t xml:space="preserve">De Gemeente kan op basis van ervaringen uit de uitvoeringspraktijk, wijzigingen in het aanbod vanuit algemene voorzieningen of wijzigingen in wet- en regelgeving, de productbeschrijvingen aanpassen. </w:t>
      </w:r>
    </w:p>
    <w:p w14:paraId="3E44FA4D" w14:textId="27F67C04" w:rsidR="00577866" w:rsidRPr="00577866" w:rsidRDefault="00577866" w:rsidP="00577866">
      <w:pPr>
        <w:pStyle w:val="Lijstalinea"/>
        <w:numPr>
          <w:ilvl w:val="0"/>
          <w:numId w:val="14"/>
        </w:numPr>
        <w:tabs>
          <w:tab w:val="left" w:pos="2268"/>
        </w:tabs>
        <w:spacing w:after="0" w:line="280" w:lineRule="atLeast"/>
        <w:rPr>
          <w:rFonts w:eastAsia="Calibri" w:cs="Times New Roman"/>
          <w:iCs/>
          <w:u w:val="single"/>
        </w:rPr>
      </w:pPr>
      <w:r w:rsidRPr="00577866">
        <w:rPr>
          <w:rFonts w:eastAsia="Calibri" w:cs="Times New Roman"/>
          <w:iCs/>
        </w:rPr>
        <w:t xml:space="preserve">De Gemeente behoudt zich het recht voor om gedurende de looptijd van de overeenkomst nieuw tarievenonderzoek te (laten) uitvoeren. Een tarievenonderzoek kan, gezien het belang van reële tarieven, resulteren in een herziening van een tarief. </w:t>
      </w:r>
    </w:p>
    <w:p w14:paraId="77432241" w14:textId="77777777" w:rsidR="00577866" w:rsidRPr="009628B1" w:rsidRDefault="00577866" w:rsidP="00577866">
      <w:pPr>
        <w:tabs>
          <w:tab w:val="left" w:pos="2268"/>
        </w:tabs>
        <w:spacing w:after="0" w:line="280" w:lineRule="atLeast"/>
        <w:ind w:left="567"/>
        <w:rPr>
          <w:rFonts w:eastAsia="Calibri" w:cs="Times New Roman"/>
          <w:iCs/>
        </w:rPr>
      </w:pPr>
    </w:p>
    <w:p w14:paraId="04E4C758" w14:textId="77777777" w:rsidR="00577866" w:rsidRDefault="00577866" w:rsidP="00577866">
      <w:pPr>
        <w:tabs>
          <w:tab w:val="left" w:pos="2268"/>
        </w:tabs>
        <w:spacing w:after="0" w:line="280" w:lineRule="atLeast"/>
        <w:rPr>
          <w:rFonts w:eastAsia="Calibri" w:cs="Times New Roman"/>
          <w:iCs/>
          <w:u w:val="single"/>
        </w:rPr>
      </w:pPr>
      <w:r w:rsidRPr="009628B1">
        <w:rPr>
          <w:rFonts w:eastAsia="Calibri" w:cs="Times New Roman"/>
          <w:iCs/>
          <w:u w:val="single"/>
        </w:rPr>
        <w:t xml:space="preserve">Programma van Eisen  </w:t>
      </w:r>
    </w:p>
    <w:p w14:paraId="60BA67CC" w14:textId="3359537E" w:rsidR="00577866" w:rsidRPr="00577866" w:rsidRDefault="00577866" w:rsidP="00577866">
      <w:pPr>
        <w:pStyle w:val="Lijstalinea"/>
        <w:numPr>
          <w:ilvl w:val="0"/>
          <w:numId w:val="15"/>
        </w:numPr>
        <w:tabs>
          <w:tab w:val="left" w:pos="2268"/>
        </w:tabs>
        <w:spacing w:after="0" w:line="280" w:lineRule="atLeast"/>
        <w:rPr>
          <w:rFonts w:eastAsia="Calibri" w:cs="Times New Roman"/>
          <w:iCs/>
          <w:u w:val="single"/>
        </w:rPr>
      </w:pPr>
      <w:r w:rsidRPr="00577866">
        <w:rPr>
          <w:rFonts w:eastAsia="Calibri" w:cs="Times New Roman"/>
          <w:iCs/>
        </w:rPr>
        <w:t xml:space="preserve">De Gemeente kan op basis van ervaringen uit de uitvoeringspraktijk, wijzigingen in het aanbod vanuit algemene voorzieningen of wijzigingen in wet- en regelgeving, het Programma van Eisen wijzigen. </w:t>
      </w:r>
    </w:p>
    <w:p w14:paraId="6A2CE39C" w14:textId="77777777" w:rsidR="00577866" w:rsidRPr="009628B1" w:rsidRDefault="00577866" w:rsidP="00577866">
      <w:pPr>
        <w:tabs>
          <w:tab w:val="left" w:pos="2268"/>
        </w:tabs>
        <w:spacing w:after="0" w:line="280" w:lineRule="atLeast"/>
        <w:rPr>
          <w:rFonts w:eastAsia="Calibri" w:cs="Times New Roman"/>
          <w:iCs/>
        </w:rPr>
      </w:pPr>
    </w:p>
    <w:p w14:paraId="5724C418" w14:textId="77777777" w:rsidR="00577866" w:rsidRPr="009628B1" w:rsidRDefault="00577866" w:rsidP="00577866">
      <w:pPr>
        <w:tabs>
          <w:tab w:val="left" w:pos="2268"/>
        </w:tabs>
        <w:spacing w:after="0" w:line="280" w:lineRule="atLeast"/>
        <w:rPr>
          <w:rFonts w:eastAsia="Calibri" w:cs="Times New Roman"/>
          <w:iCs/>
        </w:rPr>
      </w:pPr>
      <w:r w:rsidRPr="009628B1">
        <w:rPr>
          <w:rFonts w:eastAsia="Calibri" w:cs="Times New Roman"/>
          <w:iCs/>
        </w:rPr>
        <w:t>Partijen nemen een termijn van maximaal zes maanden in acht, ingaande de dag na het beschikbaar komen van de gewijzigde contractstandaarden, om de wijziging door te voeren.</w:t>
      </w:r>
    </w:p>
    <w:p w14:paraId="3883A031" w14:textId="77777777" w:rsidR="00577866" w:rsidRPr="009628B1" w:rsidRDefault="00577866" w:rsidP="00577866">
      <w:pPr>
        <w:tabs>
          <w:tab w:val="left" w:pos="2268"/>
        </w:tabs>
        <w:spacing w:after="0" w:line="280" w:lineRule="atLeast"/>
        <w:ind w:left="567"/>
        <w:rPr>
          <w:rFonts w:eastAsia="Calibri" w:cs="Times New Roman"/>
          <w:iCs/>
        </w:rPr>
      </w:pPr>
    </w:p>
    <w:p w14:paraId="2CA5389E" w14:textId="77777777" w:rsidR="00577866" w:rsidRPr="009628B1" w:rsidRDefault="00577866" w:rsidP="00577866">
      <w:pPr>
        <w:tabs>
          <w:tab w:val="left" w:pos="2268"/>
        </w:tabs>
        <w:spacing w:after="0" w:line="280" w:lineRule="atLeast"/>
        <w:rPr>
          <w:rFonts w:eastAsia="Calibri" w:cs="Times New Roman"/>
          <w:iCs/>
        </w:rPr>
      </w:pPr>
      <w:r w:rsidRPr="009628B1">
        <w:rPr>
          <w:rFonts w:eastAsia="Calibri" w:cs="Times New Roman"/>
          <w:iCs/>
        </w:rPr>
        <w:t xml:space="preserve">De jeugdhulpaanbieder weigert de wijziging niet op onredelijke gronden. Als de gevolgen van de wijziging naar het oordeel van jeugdhulpaanbieder onredelijk zijn, of partijen anderszins niet tot overeenstemming komen over de (gevolgen van) de wijziging van de overeenkomst, dan heeft jeugdhulpaanbieder het recht de overeenkomst op te zeggen als Gemeente van hem niet kan vergen de overeenkomst ongewijzigd voort te zetten. Hierbij geldt een opzegtermijn van 6 maanden. </w:t>
      </w:r>
    </w:p>
    <w:p w14:paraId="5979BD72" w14:textId="77777777" w:rsidR="00577866" w:rsidRPr="009628B1" w:rsidRDefault="00577866" w:rsidP="00577866">
      <w:pPr>
        <w:tabs>
          <w:tab w:val="left" w:pos="2268"/>
        </w:tabs>
        <w:spacing w:after="0" w:line="280" w:lineRule="atLeast"/>
        <w:ind w:left="567"/>
        <w:rPr>
          <w:rFonts w:eastAsia="Calibri" w:cs="Times New Roman"/>
          <w:iCs/>
        </w:rPr>
      </w:pPr>
    </w:p>
    <w:p w14:paraId="561D51E7" w14:textId="2CA9D2D9" w:rsidR="00577866" w:rsidRPr="00577866" w:rsidRDefault="00577866" w:rsidP="00577866">
      <w:pPr>
        <w:tabs>
          <w:tab w:val="left" w:pos="2268"/>
        </w:tabs>
        <w:spacing w:after="0" w:line="280" w:lineRule="atLeast"/>
        <w:rPr>
          <w:rFonts w:eastAsia="Calibri" w:cs="Times New Roman"/>
          <w:iCs/>
        </w:rPr>
      </w:pPr>
      <w:r w:rsidRPr="009628B1">
        <w:rPr>
          <w:rFonts w:eastAsia="Calibri" w:cs="Times New Roman"/>
          <w:iCs/>
        </w:rPr>
        <w:t>Opzegging op grond van dit artikel geeft Partijen geen recht op vergoeding van schade en/of kosten. De mogelijkheid tot wijziging in dit artikel laat het wijzen van de overeenkomst op basis van het bepaalde in art. 2.163b, 2.163d, 2.163e, 2.163f Aanbestedingswet 2012 en overige wijzigingsclausules opgenomen in de overeenkomt onverlet.’</w:t>
      </w:r>
    </w:p>
    <w:p w14:paraId="01E41BDE" w14:textId="77777777" w:rsidR="00577866" w:rsidRPr="009628B1" w:rsidRDefault="00577866" w:rsidP="00577866">
      <w:pPr>
        <w:spacing w:after="0" w:line="240" w:lineRule="auto"/>
        <w:rPr>
          <w:rFonts w:eastAsia="Calibri" w:cs="Calibri"/>
        </w:rPr>
      </w:pPr>
    </w:p>
    <w:p w14:paraId="66B48339" w14:textId="77777777" w:rsidR="009628B1" w:rsidRPr="009628B1" w:rsidRDefault="009628B1" w:rsidP="009628B1">
      <w:pPr>
        <w:spacing w:after="0" w:line="240" w:lineRule="auto"/>
        <w:rPr>
          <w:rFonts w:eastAsia="Calibri" w:cs="Calibri"/>
        </w:rPr>
      </w:pPr>
    </w:p>
    <w:p w14:paraId="7BE5F4C9" w14:textId="450E69DD" w:rsidR="00577866" w:rsidRPr="00153071" w:rsidRDefault="00BD6F62" w:rsidP="00153071">
      <w:pPr>
        <w:tabs>
          <w:tab w:val="left" w:pos="2268"/>
        </w:tabs>
        <w:spacing w:after="0" w:line="280" w:lineRule="atLeast"/>
        <w:rPr>
          <w:rFonts w:eastAsia="Calibri" w:cs="Times New Roman"/>
          <w:iCs/>
        </w:rPr>
      </w:pPr>
      <w:bookmarkStart w:id="24" w:name="_Toc184735472"/>
      <w:r w:rsidRPr="00153071">
        <w:rPr>
          <w:rStyle w:val="Kop2Char"/>
        </w:rPr>
        <w:t>Vervallen artikelen</w:t>
      </w:r>
      <w:bookmarkEnd w:id="24"/>
      <w:r w:rsidRPr="00153071">
        <w:rPr>
          <w:rFonts w:eastAsia="Calibri"/>
        </w:rPr>
        <w:t xml:space="preserve"> </w:t>
      </w:r>
      <w:r w:rsidRPr="00153071">
        <w:rPr>
          <w:rFonts w:ascii="Oranda BT" w:eastAsia="Calibri" w:hAnsi="Oranda BT" w:cstheme="majorBidi"/>
          <w:b/>
          <w:color w:val="A90A2E"/>
          <w:sz w:val="28"/>
          <w:szCs w:val="26"/>
        </w:rPr>
        <w:br/>
      </w:r>
      <w:r w:rsidR="00577866" w:rsidRPr="00153071">
        <w:rPr>
          <w:rFonts w:eastAsia="Calibri" w:cs="Times New Roman"/>
          <w:iCs/>
        </w:rPr>
        <w:t xml:space="preserve">De volgende artikelen, uit de versie 1.1, zijn niet van toepassing verklaard op dit contract: </w:t>
      </w:r>
    </w:p>
    <w:p w14:paraId="32A81BE7" w14:textId="153E6740" w:rsidR="00BD6F62" w:rsidRPr="00153071" w:rsidRDefault="00BD6F62" w:rsidP="00153071">
      <w:pPr>
        <w:tabs>
          <w:tab w:val="left" w:pos="2268"/>
        </w:tabs>
        <w:spacing w:after="0" w:line="280" w:lineRule="atLeast"/>
        <w:rPr>
          <w:rFonts w:eastAsia="Calibri" w:cs="Times New Roman"/>
          <w:iCs/>
        </w:rPr>
      </w:pPr>
      <w:r w:rsidRPr="00153071">
        <w:rPr>
          <w:rFonts w:eastAsia="Calibri" w:cs="Times New Roman"/>
          <w:iCs/>
        </w:rPr>
        <w:t>Artikel C</w:t>
      </w:r>
      <w:r w:rsidR="00577866" w:rsidRPr="00153071">
        <w:rPr>
          <w:rFonts w:eastAsia="Calibri" w:cs="Times New Roman"/>
          <w:iCs/>
        </w:rPr>
        <w:t xml:space="preserve">, </w:t>
      </w:r>
      <w:r w:rsidRPr="00153071">
        <w:rPr>
          <w:rFonts w:eastAsia="Calibri" w:cs="Times New Roman"/>
          <w:iCs/>
        </w:rPr>
        <w:t xml:space="preserve">versie 1.1 Jeugd, ‘mogelijkheid opzegging bij onvoldoende inzet’ </w:t>
      </w:r>
      <w:r w:rsidR="00577866" w:rsidRPr="00153071">
        <w:rPr>
          <w:rFonts w:eastAsia="Calibri" w:cs="Times New Roman"/>
          <w:iCs/>
        </w:rPr>
        <w:br/>
        <w:t>A</w:t>
      </w:r>
      <w:r w:rsidRPr="00153071">
        <w:rPr>
          <w:rFonts w:eastAsia="Calibri" w:cs="Times New Roman"/>
          <w:iCs/>
        </w:rPr>
        <w:t>rtikel 25, lid 1</w:t>
      </w:r>
      <w:r w:rsidR="00577866" w:rsidRPr="00153071">
        <w:rPr>
          <w:rFonts w:eastAsia="Calibri" w:cs="Times New Roman"/>
          <w:iCs/>
        </w:rPr>
        <w:t xml:space="preserve">, </w:t>
      </w:r>
      <w:r w:rsidRPr="00153071">
        <w:rPr>
          <w:rFonts w:eastAsia="Calibri" w:cs="Times New Roman"/>
          <w:iCs/>
        </w:rPr>
        <w:t xml:space="preserve">versie 1.1 Jeugd ‘inbreuk in verband met persoonsgegevens’. </w:t>
      </w:r>
    </w:p>
    <w:p w14:paraId="0A947978" w14:textId="77777777" w:rsidR="00BD6F62" w:rsidRDefault="00BD6F62" w:rsidP="009628B1">
      <w:pPr>
        <w:keepNext/>
        <w:keepLines/>
        <w:tabs>
          <w:tab w:val="left" w:pos="851"/>
        </w:tabs>
        <w:spacing w:after="0" w:line="280" w:lineRule="atLeast"/>
        <w:outlineLvl w:val="1"/>
        <w:rPr>
          <w:rFonts w:eastAsia="Times New Roman" w:cs="Times New Roman"/>
          <w:b/>
        </w:rPr>
      </w:pPr>
    </w:p>
    <w:p w14:paraId="5AB0A2A5" w14:textId="77777777" w:rsidR="004A6AE0" w:rsidRPr="009628B1" w:rsidRDefault="004A6AE0" w:rsidP="000E4E1A">
      <w:pPr>
        <w:pStyle w:val="Geenafstand"/>
      </w:pPr>
    </w:p>
    <w:sectPr w:rsidR="004A6AE0" w:rsidRPr="009628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embedRegular r:id="rId1" w:fontKey="{EE72E488-D7F7-46C9-A101-38AF818C7E50}"/>
    <w:embedBold r:id="rId2" w:fontKey="{9BA916F3-4D71-423C-950A-17B058081DBC}"/>
    <w:embedItalic r:id="rId3" w:fontKey="{3B55FDD2-893E-4EBE-94DC-10BC917CB697}"/>
  </w:font>
  <w:font w:name="Oranda BT">
    <w:altName w:val="Times New Roman"/>
    <w:panose1 w:val="020A0603030505030204"/>
    <w:charset w:val="00"/>
    <w:family w:val="roman"/>
    <w:pitch w:val="variable"/>
    <w:sig w:usb0="00000087" w:usb1="00000000" w:usb2="00000000" w:usb3="00000000" w:csb0="0000001B" w:csb1="00000000"/>
    <w:embedBold r:id="rId4" w:fontKey="{26DFE7B1-6520-4E6E-92A3-253FD0FEF061}"/>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0531"/>
    <w:multiLevelType w:val="hybridMultilevel"/>
    <w:tmpl w:val="BC742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BCE0954"/>
    <w:multiLevelType w:val="hybridMultilevel"/>
    <w:tmpl w:val="9BEC1F60"/>
    <w:lvl w:ilvl="0" w:tplc="C78E163E">
      <w:start w:val="1"/>
      <w:numFmt w:val="bullet"/>
      <w:pStyle w:val="OpsommingN1Bullet"/>
      <w:lvlText w:val=""/>
      <w:lvlJc w:val="left"/>
      <w:pPr>
        <w:tabs>
          <w:tab w:val="num" w:pos="284"/>
        </w:tabs>
        <w:ind w:left="284" w:hanging="284"/>
      </w:pPr>
      <w:rPr>
        <w:rFonts w:ascii="Symbol" w:hAnsi="Symbol" w:hint="default"/>
        <w:color w:val="000000" w:themeColor="text1"/>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B1A54"/>
    <w:multiLevelType w:val="hybridMultilevel"/>
    <w:tmpl w:val="C5A04256"/>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7453937"/>
    <w:multiLevelType w:val="hybridMultilevel"/>
    <w:tmpl w:val="7D861A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2A664DAC"/>
    <w:multiLevelType w:val="hybridMultilevel"/>
    <w:tmpl w:val="1F1A8E30"/>
    <w:lvl w:ilvl="0" w:tplc="04130001">
      <w:start w:val="1"/>
      <w:numFmt w:val="bullet"/>
      <w:lvlText w:val=""/>
      <w:lvlJc w:val="left"/>
      <w:pPr>
        <w:ind w:left="1287" w:hanging="360"/>
      </w:pPr>
      <w:rPr>
        <w:rFonts w:ascii="Symbol" w:hAnsi="Symbol" w:hint="default"/>
      </w:rPr>
    </w:lvl>
    <w:lvl w:ilvl="1" w:tplc="04130003" w:tentative="1">
      <w:start w:val="1"/>
      <w:numFmt w:val="bullet"/>
      <w:lvlText w:val="o"/>
      <w:lvlJc w:val="left"/>
      <w:pPr>
        <w:ind w:left="2007" w:hanging="360"/>
      </w:pPr>
      <w:rPr>
        <w:rFonts w:ascii="Courier New" w:hAnsi="Courier New" w:cs="Courier New" w:hint="default"/>
      </w:rPr>
    </w:lvl>
    <w:lvl w:ilvl="2" w:tplc="04130005" w:tentative="1">
      <w:start w:val="1"/>
      <w:numFmt w:val="bullet"/>
      <w:lvlText w:val=""/>
      <w:lvlJc w:val="left"/>
      <w:pPr>
        <w:ind w:left="2727" w:hanging="360"/>
      </w:pPr>
      <w:rPr>
        <w:rFonts w:ascii="Wingdings" w:hAnsi="Wingdings" w:hint="default"/>
      </w:rPr>
    </w:lvl>
    <w:lvl w:ilvl="3" w:tplc="04130001" w:tentative="1">
      <w:start w:val="1"/>
      <w:numFmt w:val="bullet"/>
      <w:lvlText w:val=""/>
      <w:lvlJc w:val="left"/>
      <w:pPr>
        <w:ind w:left="3447" w:hanging="360"/>
      </w:pPr>
      <w:rPr>
        <w:rFonts w:ascii="Symbol" w:hAnsi="Symbol" w:hint="default"/>
      </w:rPr>
    </w:lvl>
    <w:lvl w:ilvl="4" w:tplc="04130003" w:tentative="1">
      <w:start w:val="1"/>
      <w:numFmt w:val="bullet"/>
      <w:lvlText w:val="o"/>
      <w:lvlJc w:val="left"/>
      <w:pPr>
        <w:ind w:left="4167" w:hanging="360"/>
      </w:pPr>
      <w:rPr>
        <w:rFonts w:ascii="Courier New" w:hAnsi="Courier New" w:cs="Courier New" w:hint="default"/>
      </w:rPr>
    </w:lvl>
    <w:lvl w:ilvl="5" w:tplc="04130005" w:tentative="1">
      <w:start w:val="1"/>
      <w:numFmt w:val="bullet"/>
      <w:lvlText w:val=""/>
      <w:lvlJc w:val="left"/>
      <w:pPr>
        <w:ind w:left="4887" w:hanging="360"/>
      </w:pPr>
      <w:rPr>
        <w:rFonts w:ascii="Wingdings" w:hAnsi="Wingdings" w:hint="default"/>
      </w:rPr>
    </w:lvl>
    <w:lvl w:ilvl="6" w:tplc="04130001" w:tentative="1">
      <w:start w:val="1"/>
      <w:numFmt w:val="bullet"/>
      <w:lvlText w:val=""/>
      <w:lvlJc w:val="left"/>
      <w:pPr>
        <w:ind w:left="5607" w:hanging="360"/>
      </w:pPr>
      <w:rPr>
        <w:rFonts w:ascii="Symbol" w:hAnsi="Symbol" w:hint="default"/>
      </w:rPr>
    </w:lvl>
    <w:lvl w:ilvl="7" w:tplc="04130003" w:tentative="1">
      <w:start w:val="1"/>
      <w:numFmt w:val="bullet"/>
      <w:lvlText w:val="o"/>
      <w:lvlJc w:val="left"/>
      <w:pPr>
        <w:ind w:left="6327" w:hanging="360"/>
      </w:pPr>
      <w:rPr>
        <w:rFonts w:ascii="Courier New" w:hAnsi="Courier New" w:cs="Courier New" w:hint="default"/>
      </w:rPr>
    </w:lvl>
    <w:lvl w:ilvl="8" w:tplc="04130005" w:tentative="1">
      <w:start w:val="1"/>
      <w:numFmt w:val="bullet"/>
      <w:lvlText w:val=""/>
      <w:lvlJc w:val="left"/>
      <w:pPr>
        <w:ind w:left="7047" w:hanging="360"/>
      </w:pPr>
      <w:rPr>
        <w:rFonts w:ascii="Wingdings" w:hAnsi="Wingdings" w:hint="default"/>
      </w:rPr>
    </w:lvl>
  </w:abstractNum>
  <w:abstractNum w:abstractNumId="5" w15:restartNumberingAfterBreak="0">
    <w:nsid w:val="3B101A66"/>
    <w:multiLevelType w:val="hybridMultilevel"/>
    <w:tmpl w:val="C99CEF46"/>
    <w:lvl w:ilvl="0" w:tplc="0F800642">
      <w:start w:val="1"/>
      <w:numFmt w:val="decimal"/>
      <w:lvlText w:val="%1."/>
      <w:lvlJc w:val="left"/>
      <w:pPr>
        <w:ind w:left="1080" w:hanging="360"/>
      </w:pPr>
      <w:rPr>
        <w:rFonts w:ascii="Arial" w:hAnsi="Arial" w:cs="Arial" w:hint="default"/>
        <w:b w:val="0"/>
        <w:bCs w:val="0"/>
        <w:sz w:val="21"/>
        <w:szCs w:val="21"/>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C9B4BEA"/>
    <w:multiLevelType w:val="hybridMultilevel"/>
    <w:tmpl w:val="D4F0B8F8"/>
    <w:lvl w:ilvl="0" w:tplc="0F800642">
      <w:start w:val="1"/>
      <w:numFmt w:val="decimal"/>
      <w:lvlText w:val="%1."/>
      <w:lvlJc w:val="left"/>
      <w:pPr>
        <w:ind w:left="720" w:hanging="360"/>
      </w:pPr>
      <w:rPr>
        <w:rFonts w:ascii="Arial" w:hAnsi="Arial" w:cs="Arial" w:hint="default"/>
        <w:b w:val="0"/>
        <w:bCs w:val="0"/>
        <w:sz w:val="21"/>
        <w:szCs w:val="21"/>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ED11D80"/>
    <w:multiLevelType w:val="hybridMultilevel"/>
    <w:tmpl w:val="B97AEB9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73508C"/>
    <w:multiLevelType w:val="hybridMultilevel"/>
    <w:tmpl w:val="9FCE53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37623CB"/>
    <w:multiLevelType w:val="hybridMultilevel"/>
    <w:tmpl w:val="B1D6E3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D9D2A56"/>
    <w:multiLevelType w:val="hybridMultilevel"/>
    <w:tmpl w:val="9FAE43B6"/>
    <w:lvl w:ilvl="0" w:tplc="0F800642">
      <w:start w:val="1"/>
      <w:numFmt w:val="decimal"/>
      <w:lvlText w:val="%1."/>
      <w:lvlJc w:val="left"/>
      <w:pPr>
        <w:ind w:left="720" w:hanging="360"/>
      </w:pPr>
      <w:rPr>
        <w:rFonts w:ascii="Arial" w:hAnsi="Arial" w:cs="Arial" w:hint="default"/>
        <w:b w:val="0"/>
        <w:bCs w:val="0"/>
        <w:sz w:val="21"/>
        <w:szCs w:val="2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6D24AA0"/>
    <w:multiLevelType w:val="hybridMultilevel"/>
    <w:tmpl w:val="31B083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7AD2001"/>
    <w:multiLevelType w:val="hybridMultilevel"/>
    <w:tmpl w:val="FEBE642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DDD75F6"/>
    <w:multiLevelType w:val="hybridMultilevel"/>
    <w:tmpl w:val="74D8FAA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F31701E"/>
    <w:multiLevelType w:val="hybridMultilevel"/>
    <w:tmpl w:val="EBACB172"/>
    <w:lvl w:ilvl="0" w:tplc="04130017">
      <w:start w:val="1"/>
      <w:numFmt w:val="lowerLetter"/>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5" w15:restartNumberingAfterBreak="0">
    <w:nsid w:val="7E3E608B"/>
    <w:multiLevelType w:val="hybridMultilevel"/>
    <w:tmpl w:val="FDDA290A"/>
    <w:lvl w:ilvl="0" w:tplc="04130017">
      <w:start w:val="1"/>
      <w:numFmt w:val="lowerLetter"/>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6" w15:restartNumberingAfterBreak="0">
    <w:nsid w:val="7F74639B"/>
    <w:multiLevelType w:val="hybridMultilevel"/>
    <w:tmpl w:val="19BA5966"/>
    <w:lvl w:ilvl="0" w:tplc="04130001">
      <w:start w:val="1"/>
      <w:numFmt w:val="bullet"/>
      <w:lvlText w:val=""/>
      <w:lvlJc w:val="left"/>
      <w:pPr>
        <w:ind w:left="927" w:hanging="360"/>
      </w:pPr>
      <w:rPr>
        <w:rFonts w:ascii="Symbol" w:hAnsi="Symbol" w:hint="default"/>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num w:numId="1" w16cid:durableId="1198851235">
    <w:abstractNumId w:val="1"/>
  </w:num>
  <w:num w:numId="2" w16cid:durableId="1492021166">
    <w:abstractNumId w:val="16"/>
  </w:num>
  <w:num w:numId="3" w16cid:durableId="1841657356">
    <w:abstractNumId w:val="4"/>
  </w:num>
  <w:num w:numId="4" w16cid:durableId="179780367">
    <w:abstractNumId w:val="2"/>
  </w:num>
  <w:num w:numId="5" w16cid:durableId="1411390558">
    <w:abstractNumId w:val="10"/>
  </w:num>
  <w:num w:numId="6" w16cid:durableId="379860876">
    <w:abstractNumId w:val="6"/>
  </w:num>
  <w:num w:numId="7" w16cid:durableId="1776248669">
    <w:abstractNumId w:val="5"/>
  </w:num>
  <w:num w:numId="8" w16cid:durableId="483207013">
    <w:abstractNumId w:val="8"/>
  </w:num>
  <w:num w:numId="9" w16cid:durableId="1700931852">
    <w:abstractNumId w:val="7"/>
  </w:num>
  <w:num w:numId="10" w16cid:durableId="878468342">
    <w:abstractNumId w:val="3"/>
  </w:num>
  <w:num w:numId="11" w16cid:durableId="437146491">
    <w:abstractNumId w:val="14"/>
  </w:num>
  <w:num w:numId="12" w16cid:durableId="31153175">
    <w:abstractNumId w:val="15"/>
  </w:num>
  <w:num w:numId="13" w16cid:durableId="1975941061">
    <w:abstractNumId w:val="0"/>
  </w:num>
  <w:num w:numId="14" w16cid:durableId="928196248">
    <w:abstractNumId w:val="9"/>
  </w:num>
  <w:num w:numId="15" w16cid:durableId="1501627541">
    <w:abstractNumId w:val="11"/>
  </w:num>
  <w:num w:numId="16" w16cid:durableId="439033556">
    <w:abstractNumId w:val="13"/>
  </w:num>
  <w:num w:numId="17" w16cid:durableId="215895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AE0"/>
    <w:rsid w:val="00021ADE"/>
    <w:rsid w:val="00023188"/>
    <w:rsid w:val="000E4E1A"/>
    <w:rsid w:val="00153071"/>
    <w:rsid w:val="001B5670"/>
    <w:rsid w:val="00212C48"/>
    <w:rsid w:val="00286AEE"/>
    <w:rsid w:val="00493352"/>
    <w:rsid w:val="0049413B"/>
    <w:rsid w:val="004A09E1"/>
    <w:rsid w:val="004A6AE0"/>
    <w:rsid w:val="004C4AC0"/>
    <w:rsid w:val="004E2C7A"/>
    <w:rsid w:val="00577866"/>
    <w:rsid w:val="00593D3B"/>
    <w:rsid w:val="006E35D8"/>
    <w:rsid w:val="006F26F1"/>
    <w:rsid w:val="007102E5"/>
    <w:rsid w:val="00787DED"/>
    <w:rsid w:val="007D0FDE"/>
    <w:rsid w:val="0086615A"/>
    <w:rsid w:val="008A227A"/>
    <w:rsid w:val="00951AD6"/>
    <w:rsid w:val="009628B1"/>
    <w:rsid w:val="00996E71"/>
    <w:rsid w:val="009E68BC"/>
    <w:rsid w:val="00A173D1"/>
    <w:rsid w:val="00A20803"/>
    <w:rsid w:val="00A46B51"/>
    <w:rsid w:val="00AB00DE"/>
    <w:rsid w:val="00AD4796"/>
    <w:rsid w:val="00B34E38"/>
    <w:rsid w:val="00BD6F62"/>
    <w:rsid w:val="00C36D5A"/>
    <w:rsid w:val="00C4526A"/>
    <w:rsid w:val="00C84C75"/>
    <w:rsid w:val="00D6079D"/>
    <w:rsid w:val="00D94550"/>
    <w:rsid w:val="00D96FAD"/>
    <w:rsid w:val="00DD3EBB"/>
    <w:rsid w:val="00DE6A63"/>
    <w:rsid w:val="00DF7C2E"/>
    <w:rsid w:val="00E82AB0"/>
    <w:rsid w:val="00EA2724"/>
    <w:rsid w:val="00EB081A"/>
    <w:rsid w:val="00EF217B"/>
    <w:rsid w:val="00F50235"/>
    <w:rsid w:val="00F721EA"/>
    <w:rsid w:val="00F82007"/>
    <w:rsid w:val="00F8763E"/>
    <w:rsid w:val="00F937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8341F"/>
  <w15:chartTrackingRefBased/>
  <w15:docId w15:val="{219208CB-8355-4F5B-9AA9-2BD831323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9"/>
        <w:szCs w:val="19"/>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4E38"/>
    <w:pPr>
      <w:spacing w:after="300"/>
    </w:pPr>
    <w:rPr>
      <w:rFonts w:ascii="Source Sans Pro" w:hAnsi="Source Sans Pro"/>
    </w:rPr>
  </w:style>
  <w:style w:type="paragraph" w:styleId="Kop1">
    <w:name w:val="heading 1"/>
    <w:aliases w:val="Kopregel"/>
    <w:basedOn w:val="Standaard"/>
    <w:next w:val="Standaard"/>
    <w:link w:val="Kop1Char"/>
    <w:uiPriority w:val="9"/>
    <w:qFormat/>
    <w:rsid w:val="006F26F1"/>
    <w:pPr>
      <w:keepNext/>
      <w:keepLines/>
      <w:spacing w:before="240" w:after="0"/>
      <w:outlineLvl w:val="0"/>
    </w:pPr>
    <w:rPr>
      <w:rFonts w:ascii="Oranda BT" w:eastAsiaTheme="majorEastAsia" w:hAnsi="Oranda BT" w:cstheme="majorBidi"/>
      <w:b/>
      <w:color w:val="A90A2E"/>
      <w:sz w:val="48"/>
      <w:szCs w:val="32"/>
    </w:rPr>
  </w:style>
  <w:style w:type="paragraph" w:styleId="Kop2">
    <w:name w:val="heading 2"/>
    <w:aliases w:val="Tussenkop 1"/>
    <w:basedOn w:val="Standaard"/>
    <w:next w:val="Standaard"/>
    <w:link w:val="Kop2Char"/>
    <w:uiPriority w:val="9"/>
    <w:unhideWhenUsed/>
    <w:qFormat/>
    <w:rsid w:val="006F26F1"/>
    <w:pPr>
      <w:keepNext/>
      <w:keepLines/>
      <w:spacing w:before="40" w:after="0"/>
      <w:outlineLvl w:val="1"/>
    </w:pPr>
    <w:rPr>
      <w:rFonts w:ascii="Oranda BT" w:eastAsiaTheme="majorEastAsia" w:hAnsi="Oranda BT" w:cstheme="majorBidi"/>
      <w:b/>
      <w:color w:val="A90A2E"/>
      <w:sz w:val="28"/>
      <w:szCs w:val="26"/>
    </w:rPr>
  </w:style>
  <w:style w:type="paragraph" w:styleId="Kop3">
    <w:name w:val="heading 3"/>
    <w:aliases w:val="Tussenkop 2"/>
    <w:basedOn w:val="Standaard"/>
    <w:next w:val="Standaard"/>
    <w:link w:val="Kop3Char"/>
    <w:uiPriority w:val="9"/>
    <w:unhideWhenUsed/>
    <w:qFormat/>
    <w:rsid w:val="00F9371F"/>
    <w:pPr>
      <w:keepNext/>
      <w:keepLines/>
      <w:spacing w:before="40" w:after="0"/>
      <w:outlineLvl w:val="2"/>
    </w:pPr>
    <w:rPr>
      <w:rFonts w:eastAsiaTheme="majorEastAsia" w:cstheme="majorBidi"/>
      <w:b/>
      <w:sz w:val="22"/>
      <w:szCs w:val="24"/>
    </w:rPr>
  </w:style>
  <w:style w:type="paragraph" w:styleId="Kop4">
    <w:name w:val="heading 4"/>
    <w:aliases w:val="Tussenkop 3"/>
    <w:basedOn w:val="Standaard"/>
    <w:next w:val="Standaard"/>
    <w:link w:val="Kop4Char"/>
    <w:uiPriority w:val="9"/>
    <w:unhideWhenUsed/>
    <w:rsid w:val="00F9371F"/>
    <w:pPr>
      <w:keepNext/>
      <w:keepLines/>
      <w:spacing w:before="40" w:after="0"/>
      <w:outlineLvl w:val="3"/>
    </w:pPr>
    <w:rPr>
      <w:rFonts w:eastAsiaTheme="majorEastAsia" w:cstheme="majorBidi"/>
      <w:b/>
      <w:iCs/>
      <w:sz w:val="22"/>
    </w:rPr>
  </w:style>
  <w:style w:type="paragraph" w:styleId="Kop5">
    <w:name w:val="heading 5"/>
    <w:aliases w:val="Tussenkop 4"/>
    <w:basedOn w:val="Standaard"/>
    <w:next w:val="Standaard"/>
    <w:link w:val="Kop5Char"/>
    <w:uiPriority w:val="9"/>
    <w:unhideWhenUsed/>
    <w:rsid w:val="00F9371F"/>
    <w:pPr>
      <w:keepNext/>
      <w:keepLines/>
      <w:spacing w:before="40" w:after="0"/>
      <w:outlineLvl w:val="4"/>
    </w:pPr>
    <w:rPr>
      <w:rFonts w:eastAsiaTheme="majorEastAsia" w:cstheme="majorBidi"/>
      <w:b/>
      <w:sz w:val="22"/>
    </w:rPr>
  </w:style>
  <w:style w:type="paragraph" w:styleId="Kop6">
    <w:name w:val="heading 6"/>
    <w:aliases w:val="Tussenkop 5"/>
    <w:basedOn w:val="Standaard"/>
    <w:next w:val="Standaard"/>
    <w:link w:val="Kop6Char"/>
    <w:uiPriority w:val="9"/>
    <w:semiHidden/>
    <w:unhideWhenUsed/>
    <w:rsid w:val="00F9371F"/>
    <w:pPr>
      <w:keepNext/>
      <w:keepLines/>
      <w:spacing w:before="40" w:after="0"/>
      <w:outlineLvl w:val="5"/>
    </w:pPr>
    <w:rPr>
      <w:rFonts w:eastAsiaTheme="majorEastAsia" w:cstheme="majorBidi"/>
      <w:b/>
      <w:sz w:val="22"/>
    </w:rPr>
  </w:style>
  <w:style w:type="paragraph" w:styleId="Kop7">
    <w:name w:val="heading 7"/>
    <w:aliases w:val="Tussenkop 6"/>
    <w:basedOn w:val="Standaard"/>
    <w:next w:val="Standaard"/>
    <w:link w:val="Kop7Char"/>
    <w:uiPriority w:val="9"/>
    <w:semiHidden/>
    <w:unhideWhenUsed/>
    <w:qFormat/>
    <w:rsid w:val="00F9371F"/>
    <w:pPr>
      <w:keepNext/>
      <w:keepLines/>
      <w:spacing w:before="40" w:after="0"/>
      <w:outlineLvl w:val="6"/>
    </w:pPr>
    <w:rPr>
      <w:rFonts w:eastAsiaTheme="majorEastAsia" w:cstheme="majorBidi"/>
      <w:b/>
      <w:iCs/>
      <w:sz w:val="22"/>
    </w:rPr>
  </w:style>
  <w:style w:type="paragraph" w:styleId="Kop8">
    <w:name w:val="heading 8"/>
    <w:aliases w:val="Tussenkop 7"/>
    <w:basedOn w:val="Standaard"/>
    <w:next w:val="Standaard"/>
    <w:link w:val="Kop8Char"/>
    <w:uiPriority w:val="9"/>
    <w:semiHidden/>
    <w:unhideWhenUsed/>
    <w:qFormat/>
    <w:rsid w:val="00F9371F"/>
    <w:pPr>
      <w:keepNext/>
      <w:keepLines/>
      <w:spacing w:before="40" w:after="0"/>
      <w:outlineLvl w:val="7"/>
    </w:pPr>
    <w:rPr>
      <w:rFonts w:eastAsiaTheme="majorEastAsia" w:cstheme="majorBidi"/>
      <w:b/>
      <w:sz w:val="22"/>
      <w:szCs w:val="21"/>
    </w:rPr>
  </w:style>
  <w:style w:type="paragraph" w:styleId="Kop9">
    <w:name w:val="heading 9"/>
    <w:aliases w:val="Tussenkop 8"/>
    <w:basedOn w:val="Standaard"/>
    <w:next w:val="Standaard"/>
    <w:link w:val="Kop9Char"/>
    <w:uiPriority w:val="9"/>
    <w:semiHidden/>
    <w:unhideWhenUsed/>
    <w:qFormat/>
    <w:rsid w:val="00F9371F"/>
    <w:pPr>
      <w:keepNext/>
      <w:keepLines/>
      <w:spacing w:before="40" w:after="0"/>
      <w:outlineLvl w:val="8"/>
    </w:pPr>
    <w:rPr>
      <w:rFonts w:eastAsiaTheme="majorEastAsia" w:cstheme="majorBidi"/>
      <w:b/>
      <w:iCs/>
      <w:sz w:val="22"/>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regel Char"/>
    <w:basedOn w:val="Standaardalinea-lettertype"/>
    <w:link w:val="Kop1"/>
    <w:uiPriority w:val="9"/>
    <w:rsid w:val="006F26F1"/>
    <w:rPr>
      <w:rFonts w:ascii="Oranda BT" w:eastAsiaTheme="majorEastAsia" w:hAnsi="Oranda BT" w:cstheme="majorBidi"/>
      <w:b/>
      <w:color w:val="A90A2E"/>
      <w:sz w:val="48"/>
      <w:szCs w:val="32"/>
    </w:rPr>
  </w:style>
  <w:style w:type="character" w:customStyle="1" w:styleId="Kop2Char">
    <w:name w:val="Kop 2 Char"/>
    <w:aliases w:val="Tussenkop 1 Char"/>
    <w:basedOn w:val="Standaardalinea-lettertype"/>
    <w:link w:val="Kop2"/>
    <w:uiPriority w:val="9"/>
    <w:rsid w:val="006F26F1"/>
    <w:rPr>
      <w:rFonts w:ascii="Oranda BT" w:eastAsiaTheme="majorEastAsia" w:hAnsi="Oranda BT" w:cstheme="majorBidi"/>
      <w:b/>
      <w:color w:val="A90A2E"/>
      <w:sz w:val="28"/>
      <w:szCs w:val="26"/>
    </w:rPr>
  </w:style>
  <w:style w:type="character" w:customStyle="1" w:styleId="Kop3Char">
    <w:name w:val="Kop 3 Char"/>
    <w:aliases w:val="Tussenkop 2 Char"/>
    <w:basedOn w:val="Standaardalinea-lettertype"/>
    <w:link w:val="Kop3"/>
    <w:uiPriority w:val="9"/>
    <w:rsid w:val="00F9371F"/>
    <w:rPr>
      <w:rFonts w:ascii="Source Sans Pro" w:eastAsiaTheme="majorEastAsia" w:hAnsi="Source Sans Pro" w:cstheme="majorBidi"/>
      <w:b/>
      <w:sz w:val="22"/>
      <w:szCs w:val="24"/>
    </w:rPr>
  </w:style>
  <w:style w:type="character" w:customStyle="1" w:styleId="Kop4Char">
    <w:name w:val="Kop 4 Char"/>
    <w:aliases w:val="Tussenkop 3 Char"/>
    <w:basedOn w:val="Standaardalinea-lettertype"/>
    <w:link w:val="Kop4"/>
    <w:uiPriority w:val="9"/>
    <w:rsid w:val="00F9371F"/>
    <w:rPr>
      <w:rFonts w:ascii="Source Sans Pro" w:eastAsiaTheme="majorEastAsia" w:hAnsi="Source Sans Pro" w:cstheme="majorBidi"/>
      <w:b/>
      <w:iCs/>
      <w:sz w:val="22"/>
    </w:rPr>
  </w:style>
  <w:style w:type="character" w:customStyle="1" w:styleId="Kop5Char">
    <w:name w:val="Kop 5 Char"/>
    <w:aliases w:val="Tussenkop 4 Char"/>
    <w:basedOn w:val="Standaardalinea-lettertype"/>
    <w:link w:val="Kop5"/>
    <w:uiPriority w:val="9"/>
    <w:rsid w:val="00F9371F"/>
    <w:rPr>
      <w:rFonts w:ascii="Source Sans Pro" w:eastAsiaTheme="majorEastAsia" w:hAnsi="Source Sans Pro" w:cstheme="majorBidi"/>
      <w:b/>
      <w:sz w:val="22"/>
    </w:rPr>
  </w:style>
  <w:style w:type="character" w:customStyle="1" w:styleId="Kop6Char">
    <w:name w:val="Kop 6 Char"/>
    <w:aliases w:val="Tussenkop 5 Char"/>
    <w:basedOn w:val="Standaardalinea-lettertype"/>
    <w:link w:val="Kop6"/>
    <w:uiPriority w:val="9"/>
    <w:semiHidden/>
    <w:rsid w:val="00F9371F"/>
    <w:rPr>
      <w:rFonts w:ascii="Source Sans Pro" w:eastAsiaTheme="majorEastAsia" w:hAnsi="Source Sans Pro" w:cstheme="majorBidi"/>
      <w:b/>
      <w:sz w:val="22"/>
    </w:rPr>
  </w:style>
  <w:style w:type="character" w:customStyle="1" w:styleId="Kop7Char">
    <w:name w:val="Kop 7 Char"/>
    <w:aliases w:val="Tussenkop 6 Char"/>
    <w:basedOn w:val="Standaardalinea-lettertype"/>
    <w:link w:val="Kop7"/>
    <w:uiPriority w:val="9"/>
    <w:semiHidden/>
    <w:rsid w:val="00F9371F"/>
    <w:rPr>
      <w:rFonts w:ascii="Source Sans Pro" w:eastAsiaTheme="majorEastAsia" w:hAnsi="Source Sans Pro" w:cstheme="majorBidi"/>
      <w:b/>
      <w:iCs/>
      <w:sz w:val="22"/>
    </w:rPr>
  </w:style>
  <w:style w:type="character" w:customStyle="1" w:styleId="Kop8Char">
    <w:name w:val="Kop 8 Char"/>
    <w:aliases w:val="Tussenkop 7 Char"/>
    <w:basedOn w:val="Standaardalinea-lettertype"/>
    <w:link w:val="Kop8"/>
    <w:uiPriority w:val="9"/>
    <w:semiHidden/>
    <w:rsid w:val="00F9371F"/>
    <w:rPr>
      <w:rFonts w:ascii="Source Sans Pro" w:eastAsiaTheme="majorEastAsia" w:hAnsi="Source Sans Pro" w:cstheme="majorBidi"/>
      <w:b/>
      <w:sz w:val="22"/>
      <w:szCs w:val="21"/>
    </w:rPr>
  </w:style>
  <w:style w:type="character" w:customStyle="1" w:styleId="Kop9Char">
    <w:name w:val="Kop 9 Char"/>
    <w:aliases w:val="Tussenkop 8 Char"/>
    <w:basedOn w:val="Standaardalinea-lettertype"/>
    <w:link w:val="Kop9"/>
    <w:uiPriority w:val="9"/>
    <w:semiHidden/>
    <w:rsid w:val="00F9371F"/>
    <w:rPr>
      <w:rFonts w:ascii="Source Sans Pro" w:eastAsiaTheme="majorEastAsia" w:hAnsi="Source Sans Pro" w:cstheme="majorBidi"/>
      <w:b/>
      <w:iCs/>
      <w:sz w:val="22"/>
      <w:szCs w:val="21"/>
    </w:rPr>
  </w:style>
  <w:style w:type="paragraph" w:styleId="Titel">
    <w:name w:val="Title"/>
    <w:basedOn w:val="Standaard"/>
    <w:next w:val="Standaard"/>
    <w:link w:val="TitelChar"/>
    <w:uiPriority w:val="10"/>
    <w:qFormat/>
    <w:rsid w:val="006F26F1"/>
    <w:pPr>
      <w:spacing w:after="0" w:line="240" w:lineRule="auto"/>
      <w:contextualSpacing/>
    </w:pPr>
    <w:rPr>
      <w:rFonts w:ascii="Oranda BT" w:eastAsiaTheme="majorEastAsia" w:hAnsi="Oranda BT" w:cstheme="majorBidi"/>
      <w:b/>
      <w:color w:val="A90A2E"/>
      <w:spacing w:val="-10"/>
      <w:kern w:val="28"/>
      <w:sz w:val="56"/>
      <w:szCs w:val="56"/>
    </w:rPr>
  </w:style>
  <w:style w:type="character" w:customStyle="1" w:styleId="TitelChar">
    <w:name w:val="Titel Char"/>
    <w:basedOn w:val="Standaardalinea-lettertype"/>
    <w:link w:val="Titel"/>
    <w:uiPriority w:val="10"/>
    <w:rsid w:val="006F26F1"/>
    <w:rPr>
      <w:rFonts w:ascii="Oranda BT" w:eastAsiaTheme="majorEastAsia" w:hAnsi="Oranda BT" w:cstheme="majorBidi"/>
      <w:b/>
      <w:color w:val="A90A2E"/>
      <w:spacing w:val="-10"/>
      <w:kern w:val="28"/>
      <w:sz w:val="56"/>
      <w:szCs w:val="56"/>
    </w:rPr>
  </w:style>
  <w:style w:type="paragraph" w:styleId="Ondertitel">
    <w:name w:val="Subtitle"/>
    <w:aliases w:val="Lead of Intro"/>
    <w:basedOn w:val="Standaard"/>
    <w:next w:val="Standaard"/>
    <w:link w:val="OndertitelChar"/>
    <w:uiPriority w:val="11"/>
    <w:qFormat/>
    <w:rsid w:val="00F9371F"/>
    <w:pPr>
      <w:numPr>
        <w:ilvl w:val="1"/>
      </w:numPr>
    </w:pPr>
    <w:rPr>
      <w:rFonts w:eastAsiaTheme="minorEastAsia"/>
      <w:b/>
      <w:spacing w:val="15"/>
      <w:sz w:val="22"/>
    </w:rPr>
  </w:style>
  <w:style w:type="character" w:customStyle="1" w:styleId="OndertitelChar">
    <w:name w:val="Ondertitel Char"/>
    <w:aliases w:val="Lead of Intro Char"/>
    <w:basedOn w:val="Standaardalinea-lettertype"/>
    <w:link w:val="Ondertitel"/>
    <w:uiPriority w:val="11"/>
    <w:rsid w:val="00F9371F"/>
    <w:rPr>
      <w:rFonts w:ascii="Source Sans Pro" w:eastAsiaTheme="minorEastAsia" w:hAnsi="Source Sans Pro"/>
      <w:b/>
      <w:spacing w:val="15"/>
      <w:sz w:val="22"/>
    </w:rPr>
  </w:style>
  <w:style w:type="character" w:styleId="Zwaar">
    <w:name w:val="Strong"/>
    <w:basedOn w:val="Standaardalinea-lettertype"/>
    <w:uiPriority w:val="22"/>
    <w:qFormat/>
    <w:rsid w:val="00593D3B"/>
    <w:rPr>
      <w:b/>
      <w:bCs/>
    </w:rPr>
  </w:style>
  <w:style w:type="table" w:styleId="Tabelraster">
    <w:name w:val="Table Grid"/>
    <w:basedOn w:val="Standaardtabel"/>
    <w:uiPriority w:val="39"/>
    <w:rsid w:val="00593D3B"/>
    <w:pPr>
      <w:spacing w:after="0" w:line="240" w:lineRule="auto"/>
    </w:pPr>
    <w:rPr>
      <w:rFonts w:ascii="Source Sans Pro" w:hAnsi="Source Sans 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qFormat/>
    <w:rsid w:val="00493352"/>
    <w:pPr>
      <w:spacing w:before="360" w:after="360"/>
      <w:ind w:left="864" w:right="864"/>
      <w:jc w:val="center"/>
    </w:pPr>
    <w:rPr>
      <w:i/>
      <w:iCs/>
      <w:color w:val="A90A2E"/>
    </w:rPr>
  </w:style>
  <w:style w:type="character" w:customStyle="1" w:styleId="DuidelijkcitaatChar">
    <w:name w:val="Duidelijk citaat Char"/>
    <w:basedOn w:val="Standaardalinea-lettertype"/>
    <w:link w:val="Duidelijkcitaat"/>
    <w:uiPriority w:val="30"/>
    <w:rsid w:val="00493352"/>
    <w:rPr>
      <w:rFonts w:ascii="Source Sans Pro" w:hAnsi="Source Sans Pro"/>
      <w:i/>
      <w:iCs/>
      <w:color w:val="A90A2E"/>
    </w:rPr>
  </w:style>
  <w:style w:type="character" w:styleId="Intensievebenadrukking">
    <w:name w:val="Intense Emphasis"/>
    <w:basedOn w:val="Standaardalinea-lettertype"/>
    <w:uiPriority w:val="21"/>
    <w:qFormat/>
    <w:rsid w:val="00D6079D"/>
    <w:rPr>
      <w:i/>
      <w:iCs/>
      <w:color w:val="A90A2E"/>
    </w:rPr>
  </w:style>
  <w:style w:type="paragraph" w:styleId="Kopvaninhoudsopgave">
    <w:name w:val="TOC Heading"/>
    <w:basedOn w:val="Kop1"/>
    <w:next w:val="Standaard"/>
    <w:uiPriority w:val="39"/>
    <w:unhideWhenUsed/>
    <w:qFormat/>
    <w:rsid w:val="006E35D8"/>
    <w:pPr>
      <w:outlineLvl w:val="9"/>
    </w:pPr>
  </w:style>
  <w:style w:type="table" w:customStyle="1" w:styleId="Tabelrasterlicht1">
    <w:name w:val="Tabelraster licht1"/>
    <w:basedOn w:val="Standaardtabel"/>
    <w:uiPriority w:val="40"/>
    <w:rsid w:val="00593D3B"/>
    <w:pPr>
      <w:spacing w:after="0" w:line="240" w:lineRule="auto"/>
    </w:pPr>
    <w:rPr>
      <w:rFonts w:ascii="Source Sans Pro" w:hAnsi="Source Sans Pro"/>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Geenafstand">
    <w:name w:val="No Spacing"/>
    <w:uiPriority w:val="1"/>
    <w:qFormat/>
    <w:rsid w:val="000E4E1A"/>
    <w:pPr>
      <w:spacing w:after="0" w:line="240" w:lineRule="auto"/>
    </w:pPr>
    <w:rPr>
      <w:rFonts w:ascii="Source Sans Pro" w:hAnsi="Source Sans Pro"/>
    </w:rPr>
  </w:style>
  <w:style w:type="character" w:styleId="Subtielebenadrukking">
    <w:name w:val="Subtle Emphasis"/>
    <w:basedOn w:val="Standaardalinea-lettertype"/>
    <w:uiPriority w:val="19"/>
    <w:qFormat/>
    <w:rsid w:val="006E35D8"/>
    <w:rPr>
      <w:i/>
      <w:iCs/>
      <w:color w:val="404040" w:themeColor="text1" w:themeTint="BF"/>
    </w:rPr>
  </w:style>
  <w:style w:type="paragraph" w:styleId="Citaat">
    <w:name w:val="Quote"/>
    <w:basedOn w:val="Standaard"/>
    <w:next w:val="Standaard"/>
    <w:link w:val="CitaatChar"/>
    <w:uiPriority w:val="29"/>
    <w:qFormat/>
    <w:rsid w:val="00D6079D"/>
    <w:pPr>
      <w:spacing w:before="200" w:after="160"/>
      <w:ind w:left="864" w:right="864"/>
      <w:jc w:val="center"/>
    </w:pPr>
    <w:rPr>
      <w:i/>
      <w:iCs/>
      <w:color w:val="404040" w:themeColor="text1" w:themeTint="BF"/>
    </w:rPr>
  </w:style>
  <w:style w:type="character" w:styleId="Intensieveverwijzing">
    <w:name w:val="Intense Reference"/>
    <w:basedOn w:val="Standaardalinea-lettertype"/>
    <w:uiPriority w:val="32"/>
    <w:qFormat/>
    <w:rsid w:val="006E35D8"/>
    <w:rPr>
      <w:b/>
      <w:bCs/>
      <w:smallCaps/>
      <w:color w:val="A90A2E"/>
      <w:spacing w:val="5"/>
    </w:rPr>
  </w:style>
  <w:style w:type="character" w:customStyle="1" w:styleId="CitaatChar">
    <w:name w:val="Citaat Char"/>
    <w:basedOn w:val="Standaardalinea-lettertype"/>
    <w:link w:val="Citaat"/>
    <w:uiPriority w:val="29"/>
    <w:rsid w:val="00D6079D"/>
    <w:rPr>
      <w:rFonts w:ascii="Source Sans Pro" w:hAnsi="Source Sans Pro"/>
      <w:i/>
      <w:iCs/>
      <w:color w:val="404040" w:themeColor="text1" w:themeTint="BF"/>
    </w:rPr>
  </w:style>
  <w:style w:type="paragraph" w:styleId="Lijstalinea">
    <w:name w:val="List Paragraph"/>
    <w:basedOn w:val="Standaard"/>
    <w:uiPriority w:val="34"/>
    <w:qFormat/>
    <w:rsid w:val="004A6AE0"/>
    <w:pPr>
      <w:ind w:left="720"/>
      <w:contextualSpacing/>
    </w:pPr>
  </w:style>
  <w:style w:type="paragraph" w:styleId="Plattetekst">
    <w:name w:val="Body Text"/>
    <w:basedOn w:val="Standaard"/>
    <w:link w:val="PlattetekstChar"/>
    <w:uiPriority w:val="1"/>
    <w:rsid w:val="004A6AE0"/>
    <w:pPr>
      <w:tabs>
        <w:tab w:val="left" w:pos="2268"/>
      </w:tabs>
      <w:spacing w:after="0" w:line="280" w:lineRule="atLeast"/>
      <w:ind w:left="567"/>
    </w:pPr>
    <w:rPr>
      <w:rFonts w:asciiTheme="minorHAnsi" w:hAnsiTheme="minorHAnsi"/>
      <w:sz w:val="21"/>
      <w:szCs w:val="24"/>
    </w:rPr>
  </w:style>
  <w:style w:type="character" w:customStyle="1" w:styleId="PlattetekstChar">
    <w:name w:val="Platte tekst Char"/>
    <w:basedOn w:val="Standaardalinea-lettertype"/>
    <w:link w:val="Plattetekst"/>
    <w:uiPriority w:val="1"/>
    <w:rsid w:val="004A6AE0"/>
    <w:rPr>
      <w:sz w:val="21"/>
      <w:szCs w:val="24"/>
    </w:rPr>
  </w:style>
  <w:style w:type="paragraph" w:customStyle="1" w:styleId="OpsommingN1Bullet">
    <w:name w:val="Opsomming N1 Bullet"/>
    <w:basedOn w:val="Plattetekst"/>
    <w:uiPriority w:val="4"/>
    <w:qFormat/>
    <w:rsid w:val="004A6AE0"/>
    <w:pPr>
      <w:numPr>
        <w:numId w:val="1"/>
      </w:numPr>
      <w:tabs>
        <w:tab w:val="clear" w:pos="284"/>
      </w:tabs>
      <w:ind w:left="851"/>
    </w:pPr>
  </w:style>
  <w:style w:type="paragraph" w:customStyle="1" w:styleId="Tussenkop">
    <w:name w:val="Tussenkop"/>
    <w:basedOn w:val="Standaard"/>
    <w:next w:val="Plattetekst"/>
    <w:uiPriority w:val="3"/>
    <w:qFormat/>
    <w:rsid w:val="004A6AE0"/>
    <w:pPr>
      <w:keepNext/>
      <w:tabs>
        <w:tab w:val="left" w:pos="284"/>
        <w:tab w:val="left" w:pos="567"/>
      </w:tabs>
      <w:spacing w:after="0" w:line="280" w:lineRule="atLeast"/>
      <w:ind w:left="567"/>
    </w:pPr>
    <w:rPr>
      <w:rFonts w:asciiTheme="minorHAnsi" w:hAnsiTheme="minorHAnsi"/>
      <w:b/>
      <w:sz w:val="21"/>
      <w:szCs w:val="24"/>
    </w:rPr>
  </w:style>
  <w:style w:type="character" w:styleId="Verwijzingopmerking">
    <w:name w:val="annotation reference"/>
    <w:basedOn w:val="Standaardalinea-lettertype"/>
    <w:uiPriority w:val="99"/>
    <w:semiHidden/>
    <w:unhideWhenUsed/>
    <w:rsid w:val="00DD3EBB"/>
    <w:rPr>
      <w:sz w:val="16"/>
      <w:szCs w:val="16"/>
    </w:rPr>
  </w:style>
  <w:style w:type="paragraph" w:styleId="Tekstopmerking">
    <w:name w:val="annotation text"/>
    <w:basedOn w:val="Standaard"/>
    <w:link w:val="TekstopmerkingChar"/>
    <w:uiPriority w:val="99"/>
    <w:unhideWhenUsed/>
    <w:rsid w:val="00DD3EBB"/>
    <w:pPr>
      <w:spacing w:line="240" w:lineRule="auto"/>
    </w:pPr>
    <w:rPr>
      <w:sz w:val="20"/>
      <w:szCs w:val="20"/>
    </w:rPr>
  </w:style>
  <w:style w:type="character" w:customStyle="1" w:styleId="TekstopmerkingChar">
    <w:name w:val="Tekst opmerking Char"/>
    <w:basedOn w:val="Standaardalinea-lettertype"/>
    <w:link w:val="Tekstopmerking"/>
    <w:uiPriority w:val="99"/>
    <w:rsid w:val="00DD3EBB"/>
    <w:rPr>
      <w:rFonts w:ascii="Source Sans Pro" w:hAnsi="Source Sans Pro"/>
      <w:sz w:val="20"/>
      <w:szCs w:val="20"/>
    </w:rPr>
  </w:style>
  <w:style w:type="paragraph" w:styleId="Onderwerpvanopmerking">
    <w:name w:val="annotation subject"/>
    <w:basedOn w:val="Tekstopmerking"/>
    <w:next w:val="Tekstopmerking"/>
    <w:link w:val="OnderwerpvanopmerkingChar"/>
    <w:uiPriority w:val="99"/>
    <w:semiHidden/>
    <w:unhideWhenUsed/>
    <w:rsid w:val="00DD3EBB"/>
    <w:rPr>
      <w:b/>
      <w:bCs/>
    </w:rPr>
  </w:style>
  <w:style w:type="character" w:customStyle="1" w:styleId="OnderwerpvanopmerkingChar">
    <w:name w:val="Onderwerp van opmerking Char"/>
    <w:basedOn w:val="TekstopmerkingChar"/>
    <w:link w:val="Onderwerpvanopmerking"/>
    <w:uiPriority w:val="99"/>
    <w:semiHidden/>
    <w:rsid w:val="00DD3EBB"/>
    <w:rPr>
      <w:rFonts w:ascii="Source Sans Pro" w:hAnsi="Source Sans Pro"/>
      <w:b/>
      <w:bCs/>
      <w:sz w:val="20"/>
      <w:szCs w:val="20"/>
    </w:rPr>
  </w:style>
  <w:style w:type="paragraph" w:styleId="Inhopg2">
    <w:name w:val="toc 2"/>
    <w:basedOn w:val="Standaard"/>
    <w:next w:val="Standaard"/>
    <w:autoRedefine/>
    <w:uiPriority w:val="39"/>
    <w:unhideWhenUsed/>
    <w:rsid w:val="009628B1"/>
    <w:pPr>
      <w:spacing w:after="100"/>
      <w:ind w:left="190"/>
    </w:pPr>
  </w:style>
  <w:style w:type="character" w:styleId="Hyperlink">
    <w:name w:val="Hyperlink"/>
    <w:basedOn w:val="Standaardalinea-lettertype"/>
    <w:uiPriority w:val="99"/>
    <w:unhideWhenUsed/>
    <w:rsid w:val="009628B1"/>
    <w:rPr>
      <w:color w:val="61B5A5"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Kantoorthema">
  <a:themeElements>
    <a:clrScheme name="Huisstijl Nijmegen">
      <a:dk1>
        <a:sysClr val="windowText" lastClr="000000"/>
      </a:dk1>
      <a:lt1>
        <a:sysClr val="window" lastClr="FFFFFF"/>
      </a:lt1>
      <a:dk2>
        <a:srgbClr val="C76667"/>
      </a:dk2>
      <a:lt2>
        <a:srgbClr val="A90A2E"/>
      </a:lt2>
      <a:accent1>
        <a:srgbClr val="DCA09B"/>
      </a:accent1>
      <a:accent2>
        <a:srgbClr val="03A9F4"/>
      </a:accent2>
      <a:accent3>
        <a:srgbClr val="B0D0EF"/>
      </a:accent3>
      <a:accent4>
        <a:srgbClr val="F57C00"/>
      </a:accent4>
      <a:accent5>
        <a:srgbClr val="F8B472"/>
      </a:accent5>
      <a:accent6>
        <a:srgbClr val="9E9D24"/>
      </a:accent6>
      <a:hlink>
        <a:srgbClr val="61B5A5"/>
      </a:hlink>
      <a:folHlink>
        <a:srgbClr val="B8DAD4"/>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E2BB08-B816-461D-8CD2-99F7EA59A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3759</Words>
  <Characters>20675</Characters>
  <Application>Microsoft Office Word</Application>
  <DocSecurity>0</DocSecurity>
  <Lines>172</Lines>
  <Paragraphs>48</Paragraphs>
  <ScaleCrop>false</ScaleCrop>
  <HeadingPairs>
    <vt:vector size="2" baseType="variant">
      <vt:variant>
        <vt:lpstr>Titel</vt:lpstr>
      </vt:variant>
      <vt:variant>
        <vt:i4>1</vt:i4>
      </vt:variant>
    </vt:vector>
  </HeadingPairs>
  <TitlesOfParts>
    <vt:vector size="1" baseType="lpstr">
      <vt:lpstr/>
    </vt:vector>
  </TitlesOfParts>
  <Company>Ict Rijk van Nijmegen</Company>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Schapendonk</dc:creator>
  <cp:keywords/>
  <dc:description/>
  <cp:lastModifiedBy>Mandy Schapendonk</cp:lastModifiedBy>
  <cp:revision>6</cp:revision>
  <dcterms:created xsi:type="dcterms:W3CDTF">2024-12-10T12:37:00Z</dcterms:created>
  <dcterms:modified xsi:type="dcterms:W3CDTF">2025-01-23T12:27:00Z</dcterms:modified>
</cp:coreProperties>
</file>