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25" w:rsidRDefault="0022211B" w:rsidP="00866288">
      <w:pPr>
        <w:pStyle w:val="Geenafstand"/>
        <w:jc w:val="center"/>
        <w:rPr>
          <w:b/>
          <w:color w:val="3B6B90"/>
          <w:sz w:val="28"/>
          <w:szCs w:val="26"/>
          <w:lang w:val="nl-NL"/>
        </w:rPr>
      </w:pPr>
      <w:r w:rsidRPr="005F4BA0">
        <w:rPr>
          <w:b/>
          <w:color w:val="3B6B90"/>
          <w:sz w:val="28"/>
          <w:szCs w:val="26"/>
          <w:lang w:val="nl-NL"/>
        </w:rPr>
        <w:t xml:space="preserve">Onderbouwing aanvraag </w:t>
      </w:r>
      <w:r w:rsidR="000041E8" w:rsidRPr="005F4BA0">
        <w:rPr>
          <w:b/>
          <w:color w:val="3B6B90"/>
          <w:sz w:val="28"/>
          <w:szCs w:val="26"/>
          <w:lang w:val="nl-NL"/>
        </w:rPr>
        <w:t>voor</w:t>
      </w:r>
      <w:r w:rsidRPr="005F4BA0">
        <w:rPr>
          <w:b/>
          <w:color w:val="3B6B90"/>
          <w:sz w:val="28"/>
          <w:szCs w:val="26"/>
          <w:lang w:val="nl-NL"/>
        </w:rPr>
        <w:t xml:space="preserve"> een maatwerkovereenkomst Jeugd &amp; Wmo</w:t>
      </w:r>
    </w:p>
    <w:p w:rsidR="00866288" w:rsidRPr="00866288" w:rsidRDefault="00866288" w:rsidP="00866288">
      <w:pPr>
        <w:pStyle w:val="Geenafstand"/>
        <w:jc w:val="center"/>
        <w:rPr>
          <w:b/>
          <w:color w:val="3B6B90"/>
          <w:sz w:val="18"/>
          <w:szCs w:val="18"/>
          <w:lang w:val="nl-NL"/>
        </w:rPr>
      </w:pPr>
    </w:p>
    <w:p w:rsidR="00075DC6" w:rsidRPr="005F4BA0" w:rsidRDefault="0022211B" w:rsidP="0022211B">
      <w:pPr>
        <w:pStyle w:val="Geenafstand"/>
        <w:rPr>
          <w:sz w:val="20"/>
          <w:lang w:val="nl-NL"/>
        </w:rPr>
      </w:pPr>
      <w:r w:rsidRPr="005F4BA0">
        <w:rPr>
          <w:sz w:val="20"/>
          <w:lang w:val="nl-NL"/>
        </w:rPr>
        <w:t xml:space="preserve">Indien er gebruik wordt gemaakt van een aanvraag </w:t>
      </w:r>
      <w:r w:rsidR="00DC15A0" w:rsidRPr="005F4BA0">
        <w:rPr>
          <w:sz w:val="20"/>
          <w:lang w:val="nl-NL"/>
        </w:rPr>
        <w:t xml:space="preserve">voor een </w:t>
      </w:r>
      <w:r w:rsidRPr="005F4BA0">
        <w:rPr>
          <w:sz w:val="20"/>
          <w:lang w:val="nl-NL"/>
        </w:rPr>
        <w:t xml:space="preserve">maatwerkovereenkomst gaan we ervan uit dat de stappen uit de jurisprudentie zijn gezet: </w:t>
      </w:r>
    </w:p>
    <w:p w:rsidR="0022211B" w:rsidRPr="005F4BA0" w:rsidRDefault="005F4BA0" w:rsidP="00F50273">
      <w:pPr>
        <w:pStyle w:val="Geenafstand"/>
        <w:numPr>
          <w:ilvl w:val="0"/>
          <w:numId w:val="15"/>
        </w:numPr>
        <w:rPr>
          <w:sz w:val="20"/>
          <w:lang w:val="nl-NL"/>
        </w:rPr>
      </w:pPr>
      <w:r w:rsidRPr="005F4BA0">
        <w:rPr>
          <w:sz w:val="20"/>
          <w:lang w:val="nl-NL"/>
        </w:rPr>
        <w:t>S</w:t>
      </w:r>
      <w:r w:rsidR="0022211B" w:rsidRPr="005F4BA0">
        <w:rPr>
          <w:sz w:val="20"/>
          <w:lang w:val="nl-NL"/>
        </w:rPr>
        <w:t xml:space="preserve">tel </w:t>
      </w:r>
      <w:r w:rsidR="0010608D" w:rsidRPr="005F4BA0">
        <w:rPr>
          <w:sz w:val="20"/>
          <w:lang w:val="nl-NL"/>
        </w:rPr>
        <w:t xml:space="preserve">de </w:t>
      </w:r>
      <w:r w:rsidR="0022211B" w:rsidRPr="005F4BA0">
        <w:rPr>
          <w:sz w:val="20"/>
          <w:lang w:val="nl-NL"/>
        </w:rPr>
        <w:t>hulpvraag vast</w:t>
      </w:r>
    </w:p>
    <w:p w:rsidR="0022211B" w:rsidRPr="005F4BA0" w:rsidRDefault="005F4BA0" w:rsidP="00F50273">
      <w:pPr>
        <w:pStyle w:val="Geenafstand"/>
        <w:numPr>
          <w:ilvl w:val="0"/>
          <w:numId w:val="15"/>
        </w:numPr>
        <w:rPr>
          <w:sz w:val="20"/>
          <w:lang w:val="nl-NL"/>
        </w:rPr>
      </w:pPr>
      <w:r w:rsidRPr="005F4BA0">
        <w:rPr>
          <w:sz w:val="20"/>
          <w:lang w:val="nl-NL"/>
        </w:rPr>
        <w:t>B</w:t>
      </w:r>
      <w:r w:rsidR="0022211B" w:rsidRPr="005F4BA0">
        <w:rPr>
          <w:sz w:val="20"/>
          <w:lang w:val="nl-NL"/>
        </w:rPr>
        <w:t xml:space="preserve">reng </w:t>
      </w:r>
      <w:r w:rsidR="0010608D" w:rsidRPr="005F4BA0">
        <w:rPr>
          <w:sz w:val="20"/>
          <w:lang w:val="nl-NL"/>
        </w:rPr>
        <w:t xml:space="preserve">de </w:t>
      </w:r>
      <w:r w:rsidR="0022211B" w:rsidRPr="005F4BA0">
        <w:rPr>
          <w:sz w:val="20"/>
          <w:lang w:val="nl-NL"/>
        </w:rPr>
        <w:t>beperkingen in kaart</w:t>
      </w:r>
    </w:p>
    <w:p w:rsidR="0022211B" w:rsidRPr="005F4BA0" w:rsidRDefault="005F4BA0" w:rsidP="00F50273">
      <w:pPr>
        <w:pStyle w:val="Geenafstand"/>
        <w:numPr>
          <w:ilvl w:val="0"/>
          <w:numId w:val="15"/>
        </w:numPr>
        <w:rPr>
          <w:sz w:val="20"/>
          <w:lang w:val="nl-NL"/>
        </w:rPr>
      </w:pPr>
      <w:r w:rsidRPr="005F4BA0">
        <w:rPr>
          <w:sz w:val="20"/>
          <w:lang w:val="nl-NL"/>
        </w:rPr>
        <w:t>B</w:t>
      </w:r>
      <w:r w:rsidR="0022211B" w:rsidRPr="005F4BA0">
        <w:rPr>
          <w:sz w:val="20"/>
          <w:lang w:val="nl-NL"/>
        </w:rPr>
        <w:t>epaal welke hulp nodig is</w:t>
      </w:r>
    </w:p>
    <w:p w:rsidR="00075DC6" w:rsidRPr="00866288" w:rsidRDefault="005F4BA0" w:rsidP="0022211B">
      <w:pPr>
        <w:pStyle w:val="Geenafstand"/>
        <w:numPr>
          <w:ilvl w:val="0"/>
          <w:numId w:val="15"/>
        </w:numPr>
        <w:rPr>
          <w:sz w:val="20"/>
          <w:lang w:val="nl-NL"/>
        </w:rPr>
      </w:pPr>
      <w:r w:rsidRPr="005F4BA0">
        <w:rPr>
          <w:sz w:val="20"/>
          <w:lang w:val="nl-NL"/>
        </w:rPr>
        <w:t>O</w:t>
      </w:r>
      <w:r w:rsidR="0022211B" w:rsidRPr="005F4BA0">
        <w:rPr>
          <w:sz w:val="20"/>
          <w:lang w:val="nl-NL"/>
        </w:rPr>
        <w:t>nderzoek de eigen mogelijkheden en</w:t>
      </w:r>
      <w:r w:rsidR="0010608D" w:rsidRPr="005F4BA0">
        <w:rPr>
          <w:sz w:val="20"/>
          <w:lang w:val="nl-NL"/>
        </w:rPr>
        <w:t xml:space="preserve"> het</w:t>
      </w:r>
      <w:r w:rsidR="0022211B" w:rsidRPr="005F4BA0">
        <w:rPr>
          <w:sz w:val="20"/>
          <w:lang w:val="nl-NL"/>
        </w:rPr>
        <w:t xml:space="preserve"> probleem</w:t>
      </w:r>
      <w:r w:rsidR="00B1139E">
        <w:rPr>
          <w:sz w:val="20"/>
          <w:lang w:val="nl-NL"/>
        </w:rPr>
        <w:t>oplossend vermogen</w:t>
      </w:r>
    </w:p>
    <w:p w:rsidR="0022211B" w:rsidRPr="005F4BA0" w:rsidRDefault="0022211B" w:rsidP="0022211B">
      <w:pPr>
        <w:pStyle w:val="Geenafstand"/>
        <w:rPr>
          <w:sz w:val="20"/>
          <w:lang w:val="nl-NL"/>
        </w:rPr>
      </w:pPr>
      <w:r w:rsidRPr="005F4BA0">
        <w:rPr>
          <w:sz w:val="20"/>
          <w:lang w:val="nl-NL"/>
        </w:rPr>
        <w:t xml:space="preserve">Daarnaast gaan we ervan uit dat de mogelijkheden </w:t>
      </w:r>
      <w:r w:rsidR="00F374A9" w:rsidRPr="005F4BA0">
        <w:rPr>
          <w:sz w:val="20"/>
          <w:lang w:val="nl-NL"/>
        </w:rPr>
        <w:t>inzake</w:t>
      </w:r>
      <w:r w:rsidRPr="005F4BA0">
        <w:rPr>
          <w:sz w:val="20"/>
          <w:lang w:val="nl-NL"/>
        </w:rPr>
        <w:t xml:space="preserve"> voorliggende voorzieningen, algemene voorzieningen en gebruikelijke hulp bekeken zijn en niet toereikend zijn gebleken. </w:t>
      </w:r>
    </w:p>
    <w:p w:rsidR="0022211B" w:rsidRPr="005F4BA0" w:rsidRDefault="0022211B" w:rsidP="0022211B">
      <w:pPr>
        <w:pStyle w:val="Geenafstand"/>
        <w:rPr>
          <w:sz w:val="20"/>
          <w:lang w:val="nl-NL"/>
        </w:rPr>
      </w:pPr>
    </w:p>
    <w:p w:rsidR="00075DC6" w:rsidRPr="005F4BA0" w:rsidRDefault="00C06240" w:rsidP="0022211B">
      <w:pPr>
        <w:pStyle w:val="Geenafstand"/>
        <w:rPr>
          <w:sz w:val="20"/>
          <w:lang w:val="nl-NL"/>
        </w:rPr>
      </w:pPr>
      <w:r>
        <w:rPr>
          <w:b/>
          <w:sz w:val="20"/>
          <w:lang w:val="nl-NL"/>
        </w:rPr>
        <w:t>Mogelijke r</w:t>
      </w:r>
      <w:r w:rsidR="0022211B" w:rsidRPr="00C06240">
        <w:rPr>
          <w:b/>
          <w:sz w:val="20"/>
          <w:lang w:val="nl-NL"/>
        </w:rPr>
        <w:t xml:space="preserve">edenen om een maatwerkovereenkomst af te sluiten: </w:t>
      </w:r>
    </w:p>
    <w:p w:rsidR="0022211B" w:rsidRPr="005F4BA0" w:rsidRDefault="0022211B" w:rsidP="0022211B">
      <w:pPr>
        <w:pStyle w:val="Geenafstand"/>
        <w:numPr>
          <w:ilvl w:val="0"/>
          <w:numId w:val="11"/>
        </w:numPr>
        <w:rPr>
          <w:sz w:val="20"/>
          <w:lang w:val="nl-NL"/>
        </w:rPr>
      </w:pPr>
      <w:r w:rsidRPr="005F4BA0">
        <w:rPr>
          <w:sz w:val="20"/>
          <w:lang w:val="nl-NL"/>
        </w:rPr>
        <w:t xml:space="preserve">Zorgcontinuïteit waarborgen bij verhuizing. Indien de zorg voor een cliënt al is gestart dan </w:t>
      </w:r>
      <w:r w:rsidR="00AB652E" w:rsidRPr="005F4BA0">
        <w:rPr>
          <w:sz w:val="20"/>
          <w:lang w:val="nl-NL"/>
        </w:rPr>
        <w:t>kunnen</w:t>
      </w:r>
      <w:r w:rsidRPr="005F4BA0">
        <w:rPr>
          <w:sz w:val="20"/>
          <w:lang w:val="nl-NL"/>
        </w:rPr>
        <w:t xml:space="preserve"> we een maatwerkovereenkomst af</w:t>
      </w:r>
      <w:r w:rsidR="00AB652E" w:rsidRPr="005F4BA0">
        <w:rPr>
          <w:sz w:val="20"/>
          <w:lang w:val="nl-NL"/>
        </w:rPr>
        <w:t>sluiten</w:t>
      </w:r>
      <w:r w:rsidRPr="005F4BA0">
        <w:rPr>
          <w:sz w:val="20"/>
          <w:lang w:val="nl-NL"/>
        </w:rPr>
        <w:t xml:space="preserve"> om de zorg te kunnen continueren als er sprake is van een nieuwe woonplaats</w:t>
      </w:r>
      <w:r w:rsidR="006E1C15" w:rsidRPr="005F4BA0">
        <w:rPr>
          <w:sz w:val="20"/>
          <w:lang w:val="nl-NL"/>
        </w:rPr>
        <w:t xml:space="preserve"> (verplicht in de Jeugdwet, </w:t>
      </w:r>
      <w:r w:rsidR="00AB652E" w:rsidRPr="005F4BA0">
        <w:rPr>
          <w:sz w:val="20"/>
          <w:lang w:val="nl-NL"/>
        </w:rPr>
        <w:t>niet</w:t>
      </w:r>
      <w:r w:rsidR="00912FE1" w:rsidRPr="005F4BA0">
        <w:rPr>
          <w:sz w:val="20"/>
          <w:lang w:val="nl-NL"/>
        </w:rPr>
        <w:t xml:space="preserve"> verplicht</w:t>
      </w:r>
      <w:r w:rsidR="006E1C15" w:rsidRPr="005F4BA0">
        <w:rPr>
          <w:sz w:val="20"/>
          <w:lang w:val="nl-NL"/>
        </w:rPr>
        <w:t xml:space="preserve"> in de Wmo)</w:t>
      </w:r>
      <w:r w:rsidRPr="005F4BA0">
        <w:rPr>
          <w:sz w:val="20"/>
          <w:lang w:val="nl-NL"/>
        </w:rPr>
        <w:t>.</w:t>
      </w:r>
    </w:p>
    <w:p w:rsidR="0022211B" w:rsidRPr="00866288" w:rsidRDefault="0022211B" w:rsidP="0022211B">
      <w:pPr>
        <w:pStyle w:val="Geenafstand"/>
        <w:numPr>
          <w:ilvl w:val="0"/>
          <w:numId w:val="11"/>
        </w:numPr>
        <w:rPr>
          <w:sz w:val="20"/>
          <w:lang w:val="nl-NL"/>
        </w:rPr>
      </w:pPr>
      <w:r w:rsidRPr="005F4BA0">
        <w:rPr>
          <w:sz w:val="20"/>
          <w:lang w:val="nl-NL"/>
        </w:rPr>
        <w:t xml:space="preserve">Er is sprake van een niche. Geen van de gecontracteerde zorgaanbieders geven aan de hulp te kunnen leveren die nodig is in de casus. </w:t>
      </w:r>
    </w:p>
    <w:p w:rsidR="008D7087" w:rsidRDefault="008D7087" w:rsidP="0022211B">
      <w:pPr>
        <w:pStyle w:val="Geenafstand"/>
        <w:rPr>
          <w:sz w:val="20"/>
          <w:lang w:val="nl-NL"/>
        </w:rPr>
      </w:pPr>
      <w:r>
        <w:rPr>
          <w:sz w:val="20"/>
          <w:lang w:val="nl-NL"/>
        </w:rPr>
        <w:t>In andere gevallen moet er een oplossing worden gevonden binnen het gecontracteerde aanbod en is een maatwerkovereenkomst niet de aangewezen route.</w:t>
      </w:r>
    </w:p>
    <w:p w:rsidR="008D7087" w:rsidRPr="005F4BA0" w:rsidRDefault="008D7087" w:rsidP="0022211B">
      <w:pPr>
        <w:pStyle w:val="Geenafstand"/>
        <w:rPr>
          <w:sz w:val="20"/>
          <w:lang w:val="nl-NL"/>
        </w:rPr>
      </w:pPr>
    </w:p>
    <w:p w:rsidR="0022211B" w:rsidRPr="005F4BA0" w:rsidRDefault="0036588E" w:rsidP="0022211B">
      <w:pPr>
        <w:pStyle w:val="Geenafstand"/>
        <w:rPr>
          <w:sz w:val="20"/>
          <w:lang w:val="nl-NL"/>
        </w:rPr>
      </w:pPr>
      <w:r>
        <w:rPr>
          <w:b/>
          <w:sz w:val="20"/>
          <w:lang w:val="nl-NL"/>
        </w:rPr>
        <w:t>Uitgesloten zorgvormen</w:t>
      </w:r>
      <w:r>
        <w:rPr>
          <w:sz w:val="20"/>
          <w:lang w:val="nl-NL"/>
        </w:rPr>
        <w:br/>
      </w:r>
      <w:r w:rsidR="0022211B" w:rsidRPr="005F4BA0">
        <w:rPr>
          <w:sz w:val="20"/>
          <w:lang w:val="nl-NL"/>
        </w:rPr>
        <w:t>Wij honoreren geen maatwerkovereenkomsten bij de volgende activiteiten: huiswerkbegeleiding, reguliere opvang en oppas en sporten aangezien hier geen sprake is van hulp volgens de Wmo of Jeugdwet. D</w:t>
      </w:r>
      <w:r w:rsidR="001642B9" w:rsidRPr="005F4BA0">
        <w:rPr>
          <w:sz w:val="20"/>
          <w:lang w:val="nl-NL"/>
        </w:rPr>
        <w:t>aarnaast kan er geen vaktherapie</w:t>
      </w:r>
      <w:r w:rsidR="0022211B" w:rsidRPr="005F4BA0">
        <w:rPr>
          <w:sz w:val="20"/>
          <w:lang w:val="nl-NL"/>
        </w:rPr>
        <w:t xml:space="preserve"> ingezet worden zonder regiebehandelaar.  </w:t>
      </w:r>
    </w:p>
    <w:p w:rsidR="0022211B" w:rsidRPr="005F4BA0" w:rsidRDefault="0022211B" w:rsidP="0022211B">
      <w:pPr>
        <w:pStyle w:val="Geenafstand"/>
        <w:rPr>
          <w:sz w:val="20"/>
          <w:lang w:val="nl-NL"/>
        </w:rPr>
      </w:pPr>
    </w:p>
    <w:p w:rsidR="0022211B" w:rsidRPr="00F876BE" w:rsidRDefault="0022211B" w:rsidP="00F876BE">
      <w:pPr>
        <w:rPr>
          <w:rFonts w:cs="Arial"/>
          <w:b/>
          <w:color w:val="FF0000"/>
        </w:rPr>
      </w:pPr>
      <w:r w:rsidRPr="005F4BA0">
        <w:rPr>
          <w:sz w:val="20"/>
        </w:rPr>
        <w:t xml:space="preserve">Het ingevulde format kan </w:t>
      </w:r>
      <w:r w:rsidR="00A7678C">
        <w:rPr>
          <w:sz w:val="20"/>
        </w:rPr>
        <w:t xml:space="preserve">via een beveiligde omgeving </w:t>
      </w:r>
      <w:r w:rsidRPr="005F4BA0">
        <w:rPr>
          <w:sz w:val="20"/>
        </w:rPr>
        <w:t xml:space="preserve">gemaild worden naar </w:t>
      </w:r>
      <w:hyperlink r:id="rId8" w:history="1">
        <w:r w:rsidRPr="005F4BA0">
          <w:rPr>
            <w:rStyle w:val="Hyperlink"/>
            <w:sz w:val="20"/>
          </w:rPr>
          <w:t>contracteringregio@nijmegen.nl</w:t>
        </w:r>
      </w:hyperlink>
      <w:r w:rsidRPr="005F4BA0">
        <w:rPr>
          <w:sz w:val="20"/>
        </w:rPr>
        <w:t xml:space="preserve">. </w:t>
      </w:r>
      <w:r w:rsidR="00F876BE">
        <w:rPr>
          <w:sz w:val="20"/>
        </w:rPr>
        <w:t>D</w:t>
      </w:r>
      <w:r w:rsidR="00F876BE" w:rsidRPr="004C5907">
        <w:rPr>
          <w:sz w:val="20"/>
        </w:rPr>
        <w:t xml:space="preserve">e zorg </w:t>
      </w:r>
      <w:r w:rsidR="00F876BE">
        <w:rPr>
          <w:sz w:val="20"/>
        </w:rPr>
        <w:t xml:space="preserve">kan </w:t>
      </w:r>
      <w:r w:rsidR="00F876BE" w:rsidRPr="004C5907">
        <w:rPr>
          <w:sz w:val="20"/>
        </w:rPr>
        <w:t>formeel pas kan starten als de maatwerkovereenkomst door beide partijen</w:t>
      </w:r>
      <w:r w:rsidR="00F876BE">
        <w:rPr>
          <w:sz w:val="20"/>
        </w:rPr>
        <w:t xml:space="preserve"> (ROB/gemeente en zorgaanbieder)</w:t>
      </w:r>
      <w:r w:rsidR="00F876BE" w:rsidRPr="004C5907">
        <w:rPr>
          <w:sz w:val="20"/>
        </w:rPr>
        <w:t xml:space="preserve"> is ondertekend, voor die tijd kunnen dus </w:t>
      </w:r>
      <w:r w:rsidR="00F876BE" w:rsidRPr="00B42103">
        <w:rPr>
          <w:b/>
          <w:sz w:val="20"/>
        </w:rPr>
        <w:t>geen (harde) toezeggingen</w:t>
      </w:r>
      <w:r w:rsidR="00F876BE" w:rsidRPr="004C5907">
        <w:rPr>
          <w:sz w:val="20"/>
        </w:rPr>
        <w:t xml:space="preserve"> worden gedaan.</w:t>
      </w:r>
    </w:p>
    <w:p w:rsidR="0022211B" w:rsidRPr="00866288" w:rsidRDefault="0022211B" w:rsidP="00873D25">
      <w:pPr>
        <w:rPr>
          <w:rFonts w:cs="Arial"/>
          <w:b/>
          <w:sz w:val="18"/>
          <w:szCs w:val="20"/>
        </w:rPr>
      </w:pPr>
    </w:p>
    <w:p w:rsidR="00FA789C" w:rsidRPr="00866288" w:rsidRDefault="00F67F70" w:rsidP="00873D25">
      <w:pPr>
        <w:rPr>
          <w:rFonts w:cs="Arial"/>
          <w:b/>
          <w:color w:val="FF0000"/>
          <w:szCs w:val="26"/>
        </w:rPr>
      </w:pPr>
      <w:r w:rsidRPr="00866288">
        <w:rPr>
          <w:rFonts w:cs="Arial"/>
          <w:b/>
          <w:color w:val="FF0000"/>
          <w:szCs w:val="26"/>
        </w:rPr>
        <w:t>Deel 1 P</w:t>
      </w:r>
      <w:r w:rsidR="0022211B" w:rsidRPr="00866288">
        <w:rPr>
          <w:rFonts w:cs="Arial"/>
          <w:b/>
          <w:color w:val="FF0000"/>
          <w:szCs w:val="26"/>
        </w:rPr>
        <w:t xml:space="preserve">raktische informatie: deel 1 </w:t>
      </w:r>
      <w:r w:rsidR="00CB4587" w:rsidRPr="00866288">
        <w:rPr>
          <w:rFonts w:cs="Arial"/>
          <w:b/>
          <w:color w:val="FF0000"/>
          <w:szCs w:val="26"/>
        </w:rPr>
        <w:t xml:space="preserve">moet </w:t>
      </w:r>
      <w:r w:rsidRPr="00866288">
        <w:rPr>
          <w:rFonts w:cs="Arial"/>
          <w:b/>
          <w:color w:val="FF0000"/>
          <w:szCs w:val="26"/>
        </w:rPr>
        <w:t xml:space="preserve">altijd </w:t>
      </w:r>
      <w:r w:rsidR="00630F34" w:rsidRPr="00866288">
        <w:rPr>
          <w:rFonts w:cs="Arial"/>
          <w:b/>
          <w:color w:val="FF0000"/>
          <w:szCs w:val="26"/>
          <w:u w:val="single"/>
        </w:rPr>
        <w:t>volledig</w:t>
      </w:r>
      <w:r w:rsidR="00630F34" w:rsidRPr="00866288">
        <w:rPr>
          <w:rFonts w:cs="Arial"/>
          <w:b/>
          <w:color w:val="FF0000"/>
          <w:szCs w:val="26"/>
        </w:rPr>
        <w:t xml:space="preserve"> </w:t>
      </w:r>
      <w:r w:rsidRPr="00866288">
        <w:rPr>
          <w:rFonts w:cs="Arial"/>
          <w:b/>
          <w:color w:val="FF0000"/>
          <w:szCs w:val="26"/>
        </w:rPr>
        <w:t>in</w:t>
      </w:r>
      <w:r w:rsidR="00CB4587" w:rsidRPr="00866288">
        <w:rPr>
          <w:rFonts w:cs="Arial"/>
          <w:b/>
          <w:color w:val="FF0000"/>
          <w:szCs w:val="26"/>
        </w:rPr>
        <w:t>gevuld worden</w:t>
      </w:r>
    </w:p>
    <w:tbl>
      <w:tblPr>
        <w:tblStyle w:val="Tabelraster1"/>
        <w:tblW w:w="9829" w:type="dxa"/>
        <w:tblInd w:w="-393" w:type="dxa"/>
        <w:tblLook w:val="04A0" w:firstRow="1" w:lastRow="0" w:firstColumn="1" w:lastColumn="0" w:noHBand="0" w:noVBand="1"/>
      </w:tblPr>
      <w:tblGrid>
        <w:gridCol w:w="4216"/>
        <w:gridCol w:w="5613"/>
      </w:tblGrid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572EB1" w:rsidP="00572EB1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>
              <w:rPr>
                <w:rFonts w:ascii="Source Sans Pro" w:hAnsi="Source Sans Pro" w:cs="Arial"/>
                <w:b/>
                <w:sz w:val="19"/>
                <w:szCs w:val="19"/>
              </w:rPr>
              <w:t>Organisatie, n</w:t>
            </w:r>
            <w:bookmarkStart w:id="0" w:name="_GoBack"/>
            <w:bookmarkEnd w:id="0"/>
            <w:r w:rsidR="0022211B" w:rsidRPr="005F4BA0">
              <w:rPr>
                <w:rFonts w:ascii="Source Sans Pro" w:hAnsi="Source Sans Pro" w:cs="Arial"/>
                <w:b/>
                <w:sz w:val="19"/>
                <w:szCs w:val="19"/>
              </w:rPr>
              <w:t>aam en telefoonnummer verwijzer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Naam en telefoonnummer 2</w:t>
            </w:r>
            <w:r w:rsidRPr="005F4BA0">
              <w:rPr>
                <w:rFonts w:ascii="Source Sans Pro" w:hAnsi="Source Sans Pro" w:cs="Arial"/>
                <w:b/>
                <w:sz w:val="19"/>
                <w:szCs w:val="19"/>
                <w:vertAlign w:val="superscript"/>
              </w:rPr>
              <w:t>e</w:t>
            </w: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 xml:space="preserve"> beoordelaar  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Naam aanbieder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Contactpersoon aanbieder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D96CFE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E</w:t>
            </w:r>
            <w:r w:rsidR="00D96CFE" w:rsidRPr="005F4BA0">
              <w:rPr>
                <w:rFonts w:ascii="Source Sans Pro" w:hAnsi="Source Sans Pro" w:cs="Arial"/>
                <w:b/>
                <w:sz w:val="19"/>
                <w:szCs w:val="19"/>
              </w:rPr>
              <w:t>-</w:t>
            </w: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mail en telefoonnummer aanbieder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BSN cliënt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Geboortedatum cliënt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Verantwoordelijke gemeente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A52646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 xml:space="preserve">Indien van toepassing: </w:t>
            </w:r>
            <w:r w:rsidR="00A52646">
              <w:rPr>
                <w:rFonts w:ascii="Source Sans Pro" w:hAnsi="Source Sans Pro" w:cs="Arial"/>
                <w:b/>
                <w:sz w:val="19"/>
                <w:szCs w:val="19"/>
              </w:rPr>
              <w:t>w</w:t>
            </w:r>
            <w:r w:rsidR="00B11552">
              <w:rPr>
                <w:rFonts w:ascii="Source Sans Pro" w:hAnsi="Source Sans Pro" w:cs="Arial"/>
                <w:b/>
                <w:sz w:val="19"/>
                <w:szCs w:val="19"/>
              </w:rPr>
              <w:t>elke maatregel is er en wat is de einddatum van d</w:t>
            </w:r>
            <w:r w:rsidR="005D1BB7">
              <w:rPr>
                <w:rFonts w:ascii="Source Sans Pro" w:hAnsi="Source Sans Pro" w:cs="Arial"/>
                <w:b/>
                <w:sz w:val="19"/>
                <w:szCs w:val="19"/>
              </w:rPr>
              <w:t>i</w:t>
            </w:r>
            <w:r w:rsidR="00B11552">
              <w:rPr>
                <w:rFonts w:ascii="Source Sans Pro" w:hAnsi="Source Sans Pro" w:cs="Arial"/>
                <w:b/>
                <w:sz w:val="19"/>
                <w:szCs w:val="19"/>
              </w:rPr>
              <w:t>e maatregel (</w:t>
            </w: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OTS/Jeugdreclassering/Voogdij</w:t>
            </w:r>
            <w:r w:rsidR="00A52646">
              <w:rPr>
                <w:rFonts w:ascii="Source Sans Pro" w:hAnsi="Source Sans Pro" w:cs="Arial"/>
                <w:b/>
                <w:sz w:val="19"/>
                <w:szCs w:val="19"/>
              </w:rPr>
              <w:t>)?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 xml:space="preserve">Ingangsdatum 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Einddatum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 xml:space="preserve">Product 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Productcode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Totaal aantal eenheden (voor de hele looptijd)</w:t>
            </w:r>
          </w:p>
        </w:tc>
        <w:tc>
          <w:tcPr>
            <w:tcW w:w="5613" w:type="dxa"/>
          </w:tcPr>
          <w:p w:rsidR="0022211B" w:rsidRPr="005F4BA0" w:rsidRDefault="0022211B" w:rsidP="00866288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  <w:tr w:rsidR="0022211B" w:rsidRPr="005F4BA0" w:rsidTr="00F876BE">
        <w:trPr>
          <w:trHeight w:val="340"/>
        </w:trPr>
        <w:tc>
          <w:tcPr>
            <w:tcW w:w="4216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b/>
                <w:sz w:val="19"/>
                <w:szCs w:val="19"/>
              </w:rPr>
            </w:pPr>
            <w:r w:rsidRPr="005F4BA0">
              <w:rPr>
                <w:rFonts w:ascii="Source Sans Pro" w:hAnsi="Source Sans Pro" w:cs="Arial"/>
                <w:b/>
                <w:sz w:val="19"/>
                <w:szCs w:val="19"/>
              </w:rPr>
              <w:t>Indien van toepassing: is er akkoord vanuit een overlegtafel? Zo ja, welke</w:t>
            </w:r>
            <w:r w:rsidR="002624EB">
              <w:rPr>
                <w:rFonts w:ascii="Source Sans Pro" w:hAnsi="Source Sans Pro" w:cs="Arial"/>
                <w:b/>
                <w:sz w:val="19"/>
                <w:szCs w:val="19"/>
              </w:rPr>
              <w:t>?</w:t>
            </w:r>
          </w:p>
        </w:tc>
        <w:tc>
          <w:tcPr>
            <w:tcW w:w="5613" w:type="dxa"/>
          </w:tcPr>
          <w:p w:rsidR="0022211B" w:rsidRPr="005F4BA0" w:rsidRDefault="0022211B" w:rsidP="0022211B">
            <w:pPr>
              <w:rPr>
                <w:rFonts w:ascii="Source Sans Pro" w:hAnsi="Source Sans Pro" w:cs="Arial"/>
                <w:sz w:val="19"/>
                <w:szCs w:val="19"/>
              </w:rPr>
            </w:pPr>
          </w:p>
        </w:tc>
      </w:tr>
    </w:tbl>
    <w:p w:rsidR="0099259E" w:rsidRDefault="0022211B" w:rsidP="0022211B">
      <w:pPr>
        <w:rPr>
          <w:rFonts w:cs="Arial"/>
          <w:b/>
          <w:color w:val="FF0000"/>
        </w:rPr>
      </w:pPr>
      <w:r w:rsidRPr="00F876BE">
        <w:rPr>
          <w:rFonts w:cs="Arial"/>
          <w:b/>
          <w:color w:val="FF0000"/>
        </w:rPr>
        <w:lastRenderedPageBreak/>
        <w:t>Deel 2 inhoudelijke onderbouwing: deel 2</w:t>
      </w:r>
      <w:r w:rsidR="00D865AE" w:rsidRPr="00F876BE">
        <w:rPr>
          <w:rFonts w:cs="Arial"/>
          <w:b/>
          <w:color w:val="FF0000"/>
        </w:rPr>
        <w:t xml:space="preserve"> moet worden ingevuld</w:t>
      </w:r>
      <w:r w:rsidRPr="00F876BE">
        <w:rPr>
          <w:rFonts w:cs="Arial"/>
          <w:b/>
          <w:color w:val="FF0000"/>
        </w:rPr>
        <w:t xml:space="preserve"> als er </w:t>
      </w:r>
      <w:r w:rsidRPr="0099259E">
        <w:rPr>
          <w:rFonts w:cs="Arial"/>
          <w:b/>
          <w:color w:val="FF0000"/>
          <w:u w:val="single"/>
        </w:rPr>
        <w:t>geen</w:t>
      </w:r>
      <w:r w:rsidRPr="00F876BE">
        <w:rPr>
          <w:rFonts w:cs="Arial"/>
          <w:b/>
          <w:color w:val="FF0000"/>
        </w:rPr>
        <w:t xml:space="preserve"> akkoord vanuit een overlegtafel is</w:t>
      </w:r>
      <w:r w:rsidR="0099259E">
        <w:rPr>
          <w:rFonts w:cs="Arial"/>
          <w:b/>
          <w:color w:val="FF0000"/>
        </w:rPr>
        <w:t>*</w:t>
      </w:r>
    </w:p>
    <w:p w:rsidR="0022211B" w:rsidRPr="0099259E" w:rsidRDefault="0022211B" w:rsidP="0022211B"/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2211B" w:rsidRPr="005F4BA0" w:rsidTr="0022211B">
        <w:tc>
          <w:tcPr>
            <w:tcW w:w="9782" w:type="dxa"/>
          </w:tcPr>
          <w:p w:rsidR="0022211B" w:rsidRPr="005F4BA0" w:rsidRDefault="00141140" w:rsidP="0022211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22211B" w:rsidRPr="005F4BA0">
              <w:rPr>
                <w:sz w:val="20"/>
              </w:rPr>
              <w:t>Welke jeugd</w:t>
            </w:r>
            <w:r w:rsidR="00423290">
              <w:rPr>
                <w:sz w:val="20"/>
              </w:rPr>
              <w:t>-</w:t>
            </w:r>
            <w:r w:rsidR="0022211B" w:rsidRPr="005F4BA0">
              <w:rPr>
                <w:sz w:val="20"/>
              </w:rPr>
              <w:t xml:space="preserve">/Wmo-hulp doelen worden in deze casus gesteld?  </w:t>
            </w: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Default="0022211B" w:rsidP="0022211B">
            <w:pPr>
              <w:pStyle w:val="Geenafstand"/>
              <w:rPr>
                <w:sz w:val="20"/>
              </w:rPr>
            </w:pPr>
          </w:p>
          <w:p w:rsidR="00AB6EB9" w:rsidRPr="005F4BA0" w:rsidRDefault="00AB6EB9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</w:tc>
      </w:tr>
      <w:tr w:rsidR="0022211B" w:rsidRPr="005F4BA0" w:rsidTr="0022211B">
        <w:tc>
          <w:tcPr>
            <w:tcW w:w="9782" w:type="dxa"/>
          </w:tcPr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  <w:r w:rsidRPr="005F4BA0">
              <w:rPr>
                <w:sz w:val="20"/>
              </w:rPr>
              <w:t xml:space="preserve">2a. Wat is de reden dat deze doelen niet door gecontracteerde zorgaanbieders opgepakt kunnen worden? Zie </w:t>
            </w:r>
            <w:hyperlink r:id="rId9" w:history="1">
              <w:r w:rsidRPr="005F4BA0">
                <w:rPr>
                  <w:rStyle w:val="Hyperlink"/>
                  <w:sz w:val="20"/>
                </w:rPr>
                <w:t>hier</w:t>
              </w:r>
            </w:hyperlink>
            <w:r w:rsidR="00871765" w:rsidRPr="005F4BA0">
              <w:rPr>
                <w:sz w:val="20"/>
              </w:rPr>
              <w:t xml:space="preserve"> voor</w:t>
            </w:r>
            <w:r w:rsidRPr="005F4BA0">
              <w:rPr>
                <w:sz w:val="20"/>
              </w:rPr>
              <w:t xml:space="preserve"> het totaaloverzicht</w:t>
            </w:r>
            <w:r w:rsidR="00871765" w:rsidRPr="005F4BA0">
              <w:rPr>
                <w:sz w:val="20"/>
              </w:rPr>
              <w:t xml:space="preserve"> met de gecontracteerde aanbieders</w:t>
            </w:r>
            <w:r w:rsidRPr="005F4BA0">
              <w:rPr>
                <w:sz w:val="20"/>
              </w:rPr>
              <w:t xml:space="preserve">. Geef aan waarom geen enkele van deze zorgaanbieders toereikend is in deze hulpvraag. </w:t>
            </w: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Default="0022211B" w:rsidP="0022211B">
            <w:pPr>
              <w:pStyle w:val="Geenafstand"/>
              <w:rPr>
                <w:sz w:val="20"/>
              </w:rPr>
            </w:pPr>
          </w:p>
          <w:p w:rsidR="00AB6EB9" w:rsidRPr="005F4BA0" w:rsidRDefault="00AB6EB9" w:rsidP="0022211B">
            <w:pPr>
              <w:pStyle w:val="Geenafstand"/>
              <w:rPr>
                <w:sz w:val="20"/>
              </w:rPr>
            </w:pPr>
          </w:p>
        </w:tc>
      </w:tr>
      <w:tr w:rsidR="00AB6EB9" w:rsidRPr="005F4BA0" w:rsidTr="0022211B">
        <w:tc>
          <w:tcPr>
            <w:tcW w:w="9782" w:type="dxa"/>
          </w:tcPr>
          <w:p w:rsidR="00B11552" w:rsidRDefault="00AB6EB9" w:rsidP="0022211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2b. Onder welke categorie passen bovenstaande redenen</w:t>
            </w:r>
            <w:r w:rsidR="00C76AC2">
              <w:rPr>
                <w:sz w:val="20"/>
              </w:rPr>
              <w:t xml:space="preserve"> (maximaal 1 </w:t>
            </w:r>
            <w:r w:rsidR="00636A3D">
              <w:rPr>
                <w:sz w:val="20"/>
              </w:rPr>
              <w:t>categorie</w:t>
            </w:r>
            <w:r w:rsidR="00C76AC2">
              <w:rPr>
                <w:sz w:val="20"/>
              </w:rPr>
              <w:t xml:space="preserve"> aan</w:t>
            </w:r>
            <w:r w:rsidR="005723EB">
              <w:rPr>
                <w:sz w:val="20"/>
              </w:rPr>
              <w:t>kruisen</w:t>
            </w:r>
            <w:r w:rsidR="00C76AC2">
              <w:rPr>
                <w:sz w:val="20"/>
              </w:rPr>
              <w:t>)</w:t>
            </w:r>
            <w:r>
              <w:rPr>
                <w:sz w:val="20"/>
              </w:rPr>
              <w:t xml:space="preserve">?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3"/>
              <w:gridCol w:w="5563"/>
            </w:tblGrid>
            <w:tr w:rsidR="00680CC7" w:rsidTr="00B11552">
              <w:tc>
                <w:tcPr>
                  <w:tcW w:w="3993" w:type="dxa"/>
                </w:tcPr>
                <w:p w:rsidR="00680CC7" w:rsidRPr="00680CC7" w:rsidRDefault="00680CC7" w:rsidP="0022211B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Cultuur- en taalbarrière</w:t>
                  </w:r>
                </w:p>
              </w:tc>
              <w:tc>
                <w:tcPr>
                  <w:tcW w:w="5563" w:type="dxa"/>
                </w:tcPr>
                <w:p w:rsidR="00680CC7" w:rsidRPr="00680CC7" w:rsidRDefault="00680CC7" w:rsidP="0022211B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Crisis</w:t>
                  </w:r>
                  <w:r w:rsidR="00E057D6">
                    <w:rPr>
                      <w:sz w:val="20"/>
                    </w:rPr>
                    <w:t xml:space="preserve"> (Jeugd)</w:t>
                  </w:r>
                </w:p>
              </w:tc>
            </w:tr>
            <w:tr w:rsidR="00680CC7" w:rsidTr="00B11552">
              <w:tc>
                <w:tcPr>
                  <w:tcW w:w="3993" w:type="dxa"/>
                </w:tcPr>
                <w:p w:rsidR="00680CC7" w:rsidRPr="00680CC7" w:rsidRDefault="00680CC7" w:rsidP="0022211B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Voorkomen verblijf</w:t>
                  </w:r>
                  <w:r w:rsidR="000B2444">
                    <w:rPr>
                      <w:sz w:val="20"/>
                    </w:rPr>
                    <w:t xml:space="preserve"> (Jeugd)</w:t>
                  </w:r>
                </w:p>
              </w:tc>
              <w:tc>
                <w:tcPr>
                  <w:tcW w:w="5563" w:type="dxa"/>
                </w:tcPr>
                <w:p w:rsidR="00680CC7" w:rsidRPr="00B11552" w:rsidRDefault="00346F2E" w:rsidP="00346F2E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Zorgcontinuïteit</w:t>
                  </w:r>
                </w:p>
              </w:tc>
            </w:tr>
            <w:tr w:rsidR="00680CC7" w:rsidTr="00B11552">
              <w:tc>
                <w:tcPr>
                  <w:tcW w:w="3993" w:type="dxa"/>
                </w:tcPr>
                <w:p w:rsidR="00680CC7" w:rsidRPr="00680CC7" w:rsidRDefault="00680CC7" w:rsidP="0022211B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Voorkomen zwaarder verblijf</w:t>
                  </w:r>
                  <w:r w:rsidR="000B2444">
                    <w:rPr>
                      <w:sz w:val="20"/>
                    </w:rPr>
                    <w:t xml:space="preserve"> (Jeugd)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563" w:type="dxa"/>
                </w:tcPr>
                <w:p w:rsidR="00680CC7" w:rsidRPr="00B11552" w:rsidRDefault="00B11552" w:rsidP="00D51EE8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Buiten regio</w:t>
                  </w:r>
                  <w:r w:rsidR="000B2444">
                    <w:rPr>
                      <w:sz w:val="20"/>
                    </w:rPr>
                    <w:t xml:space="preserve"> (Jeugd</w:t>
                  </w:r>
                  <w:r w:rsidR="002F1936">
                    <w:rPr>
                      <w:sz w:val="20"/>
                    </w:rPr>
                    <w:t xml:space="preserve"> of Beschermd Wonen</w:t>
                  </w:r>
                  <w:r w:rsidR="000B2444">
                    <w:rPr>
                      <w:sz w:val="20"/>
                    </w:rPr>
                    <w:t>)</w:t>
                  </w:r>
                </w:p>
              </w:tc>
            </w:tr>
            <w:tr w:rsidR="00680CC7" w:rsidTr="00B11552">
              <w:tc>
                <w:tcPr>
                  <w:tcW w:w="3993" w:type="dxa"/>
                </w:tcPr>
                <w:p w:rsidR="00680CC7" w:rsidRPr="00680CC7" w:rsidRDefault="00680CC7" w:rsidP="0022211B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Hiaat in zorglandschap 18-</w:t>
                  </w:r>
                </w:p>
              </w:tc>
              <w:tc>
                <w:tcPr>
                  <w:tcW w:w="5563" w:type="dxa"/>
                </w:tcPr>
                <w:p w:rsidR="00680CC7" w:rsidRDefault="00B11552" w:rsidP="00B11552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Forensische JGGZ</w:t>
                  </w:r>
                </w:p>
              </w:tc>
            </w:tr>
            <w:tr w:rsidR="00680CC7" w:rsidTr="00B11552">
              <w:tc>
                <w:tcPr>
                  <w:tcW w:w="3993" w:type="dxa"/>
                </w:tcPr>
                <w:p w:rsidR="00680CC7" w:rsidRDefault="00680CC7" w:rsidP="0022211B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Hiaat in zorglandschap 18+ </w:t>
                  </w:r>
                </w:p>
                <w:p w:rsidR="0058422A" w:rsidRPr="00680CC7" w:rsidRDefault="0058422A" w:rsidP="007403CF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Overig, namelijk</w:t>
                  </w:r>
                  <w:r w:rsidR="007403CF">
                    <w:rPr>
                      <w:sz w:val="20"/>
                    </w:rPr>
                    <w:t xml:space="preserve">: </w:t>
                  </w:r>
                  <w:r w:rsidRPr="0058422A">
                    <w:rPr>
                      <w:color w:val="AEAAAA" w:themeColor="background2" w:themeShade="BF"/>
                      <w:sz w:val="20"/>
                    </w:rPr>
                    <w:t>……………………………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563" w:type="dxa"/>
                </w:tcPr>
                <w:p w:rsidR="00680CC7" w:rsidRPr="0058422A" w:rsidRDefault="000B2444" w:rsidP="0058422A">
                  <w:pPr>
                    <w:pStyle w:val="Geenafstand"/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Verhuizing / verplichte overname WBP</w:t>
                  </w:r>
                  <w:r w:rsidR="00B11552" w:rsidRPr="0058422A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680CC7" w:rsidRPr="00680CC7" w:rsidRDefault="00680CC7" w:rsidP="00B11552">
            <w:pPr>
              <w:pStyle w:val="Geenafstand"/>
              <w:rPr>
                <w:sz w:val="20"/>
              </w:rPr>
            </w:pPr>
          </w:p>
        </w:tc>
      </w:tr>
      <w:tr w:rsidR="0022211B" w:rsidRPr="005F4BA0" w:rsidTr="0022211B">
        <w:tc>
          <w:tcPr>
            <w:tcW w:w="9782" w:type="dxa"/>
          </w:tcPr>
          <w:p w:rsidR="0022211B" w:rsidRPr="005F4BA0" w:rsidRDefault="00AB6EB9" w:rsidP="0022211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2c</w:t>
            </w:r>
            <w:r w:rsidR="0022211B" w:rsidRPr="005F4BA0">
              <w:rPr>
                <w:sz w:val="20"/>
              </w:rPr>
              <w:t>. Wat voegt deze zorgaanbieder toe wat noodzakelijk is voor de</w:t>
            </w:r>
            <w:r w:rsidR="009313FE" w:rsidRPr="005F4BA0">
              <w:rPr>
                <w:sz w:val="20"/>
              </w:rPr>
              <w:t xml:space="preserve"> cliënt om de doelen uit de Wmo</w:t>
            </w:r>
            <w:r w:rsidR="0022211B" w:rsidRPr="005F4BA0">
              <w:rPr>
                <w:sz w:val="20"/>
              </w:rPr>
              <w:t xml:space="preserve"> of Jeugdwet te bereiken en waarvoor het huidige gecontracteerde aanbod geen passend alternatief heeft?</w:t>
            </w: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Default="0022211B" w:rsidP="0022211B">
            <w:pPr>
              <w:pStyle w:val="Geenafstand"/>
              <w:rPr>
                <w:sz w:val="20"/>
              </w:rPr>
            </w:pPr>
          </w:p>
          <w:p w:rsidR="00AB6EB9" w:rsidRPr="005F4BA0" w:rsidRDefault="00AB6EB9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</w:tc>
      </w:tr>
      <w:tr w:rsidR="0022211B" w:rsidRPr="005F4BA0" w:rsidTr="0022211B">
        <w:tc>
          <w:tcPr>
            <w:tcW w:w="9782" w:type="dxa"/>
          </w:tcPr>
          <w:p w:rsidR="0022211B" w:rsidRPr="005F4BA0" w:rsidRDefault="008B44D3" w:rsidP="0022211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22211B" w:rsidRPr="005F4BA0">
              <w:rPr>
                <w:sz w:val="20"/>
              </w:rPr>
              <w:t xml:space="preserve">Indien van toepassing: Wat kan/doet het </w:t>
            </w:r>
            <w:r w:rsidR="00B11552" w:rsidRPr="005F4BA0">
              <w:rPr>
                <w:sz w:val="20"/>
              </w:rPr>
              <w:t>Buurtteam</w:t>
            </w:r>
            <w:r w:rsidR="006124C2">
              <w:rPr>
                <w:sz w:val="20"/>
              </w:rPr>
              <w:t xml:space="preserve"> </w:t>
            </w:r>
            <w:r w:rsidR="00B11552" w:rsidRPr="005F4BA0">
              <w:rPr>
                <w:sz w:val="20"/>
              </w:rPr>
              <w:t>/</w:t>
            </w:r>
            <w:r w:rsidR="00B11552">
              <w:rPr>
                <w:sz w:val="20"/>
              </w:rPr>
              <w:t xml:space="preserve"> S</w:t>
            </w:r>
            <w:r w:rsidR="00631D05" w:rsidRPr="005F4BA0">
              <w:rPr>
                <w:sz w:val="20"/>
              </w:rPr>
              <w:t>ociaal (wijk)team</w:t>
            </w:r>
            <w:r w:rsidR="0022211B" w:rsidRPr="005F4BA0">
              <w:rPr>
                <w:sz w:val="20"/>
              </w:rPr>
              <w:t xml:space="preserve"> zelf in deze casus? (Al dan niet in samenwerking met Aanvullende Zorg?)</w:t>
            </w: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</w:tc>
      </w:tr>
      <w:tr w:rsidR="0022211B" w:rsidRPr="005F4BA0" w:rsidTr="0022211B">
        <w:tc>
          <w:tcPr>
            <w:tcW w:w="9782" w:type="dxa"/>
          </w:tcPr>
          <w:p w:rsidR="0022211B" w:rsidRPr="005F4BA0" w:rsidRDefault="008B44D3" w:rsidP="0022211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22211B" w:rsidRPr="005F4BA0">
              <w:rPr>
                <w:sz w:val="20"/>
              </w:rPr>
              <w:t xml:space="preserve">Wat is het perspectief van de cliënt? </w:t>
            </w: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Default="0022211B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</w:tc>
      </w:tr>
      <w:tr w:rsidR="0022211B" w:rsidRPr="005F4BA0" w:rsidTr="0022211B">
        <w:tc>
          <w:tcPr>
            <w:tcW w:w="9782" w:type="dxa"/>
          </w:tcPr>
          <w:p w:rsidR="0022211B" w:rsidRPr="005F4BA0" w:rsidRDefault="008B44D3" w:rsidP="0022211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22211B" w:rsidRPr="005F4BA0">
              <w:rPr>
                <w:sz w:val="20"/>
              </w:rPr>
              <w:t xml:space="preserve">Wat is de reden dat PGB in deze casus geen oplossing biedt? </w:t>
            </w: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</w:tc>
      </w:tr>
      <w:tr w:rsidR="0022211B" w:rsidRPr="005F4BA0" w:rsidTr="0022211B">
        <w:tc>
          <w:tcPr>
            <w:tcW w:w="9782" w:type="dxa"/>
          </w:tcPr>
          <w:p w:rsidR="0022211B" w:rsidRPr="005F4BA0" w:rsidRDefault="008B44D3" w:rsidP="0022211B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22211B" w:rsidRPr="005F4BA0">
              <w:rPr>
                <w:sz w:val="20"/>
              </w:rPr>
              <w:t>Voldoet de niet-gecontracteerde zorgaanbieder aan de voorwaarden van de bouwstenen (</w:t>
            </w:r>
            <w:r w:rsidR="001122B7" w:rsidRPr="005F4BA0">
              <w:rPr>
                <w:sz w:val="20"/>
              </w:rPr>
              <w:t xml:space="preserve">zie </w:t>
            </w:r>
            <w:hyperlink r:id="rId10" w:history="1">
              <w:r w:rsidR="001122B7" w:rsidRPr="005F4BA0">
                <w:rPr>
                  <w:rStyle w:val="Hyperlink"/>
                  <w:sz w:val="20"/>
                </w:rPr>
                <w:t>hier</w:t>
              </w:r>
            </w:hyperlink>
            <w:r w:rsidR="001122B7" w:rsidRPr="005F4BA0">
              <w:rPr>
                <w:sz w:val="20"/>
              </w:rPr>
              <w:t xml:space="preserve"> voor de overzichten met bouwstenen en tarieven</w:t>
            </w:r>
            <w:r w:rsidR="00A831CF" w:rsidRPr="005F4BA0">
              <w:rPr>
                <w:sz w:val="20"/>
              </w:rPr>
              <w:t>)?</w:t>
            </w:r>
          </w:p>
          <w:p w:rsidR="0022211B" w:rsidRDefault="0022211B" w:rsidP="0022211B">
            <w:pPr>
              <w:pStyle w:val="Geenafstand"/>
              <w:rPr>
                <w:sz w:val="20"/>
              </w:rPr>
            </w:pPr>
          </w:p>
          <w:p w:rsidR="00B11552" w:rsidRPr="005F4BA0" w:rsidRDefault="00B11552" w:rsidP="0022211B">
            <w:pPr>
              <w:pStyle w:val="Geenafstand"/>
              <w:rPr>
                <w:sz w:val="20"/>
              </w:rPr>
            </w:pPr>
          </w:p>
          <w:p w:rsidR="0022211B" w:rsidRPr="005F4BA0" w:rsidRDefault="0022211B" w:rsidP="0022211B">
            <w:pPr>
              <w:pStyle w:val="Geenafstand"/>
              <w:rPr>
                <w:sz w:val="20"/>
              </w:rPr>
            </w:pPr>
          </w:p>
        </w:tc>
      </w:tr>
    </w:tbl>
    <w:p w:rsidR="0022211B" w:rsidRDefault="0022211B" w:rsidP="0022211B">
      <w:pPr>
        <w:pStyle w:val="Geenafstand"/>
        <w:rPr>
          <w:lang w:val="nl-NL"/>
        </w:rPr>
      </w:pPr>
    </w:p>
    <w:p w:rsidR="0022211B" w:rsidRPr="005F4BA0" w:rsidRDefault="0099259E" w:rsidP="00873D25">
      <w:pPr>
        <w:rPr>
          <w:rFonts w:cs="Arial"/>
          <w:b/>
          <w:sz w:val="20"/>
          <w:szCs w:val="20"/>
        </w:rPr>
      </w:pPr>
      <w:r>
        <w:rPr>
          <w:rFonts w:cs="Arial"/>
          <w:color w:val="FF0000"/>
        </w:rPr>
        <w:t xml:space="preserve">* </w:t>
      </w:r>
      <w:r w:rsidRPr="0099259E">
        <w:rPr>
          <w:rFonts w:cs="Arial"/>
          <w:color w:val="FF0000"/>
        </w:rPr>
        <w:t>Als er een akkoord vanuit een overlegtafel is, dan hoeft alleen deel 1 ingevuld te worden en dat kan met de notulen of een schriftelijke bevestiging</w:t>
      </w:r>
      <w:r w:rsidR="00A85C30">
        <w:rPr>
          <w:rFonts w:cs="Arial"/>
          <w:color w:val="FF0000"/>
        </w:rPr>
        <w:t xml:space="preserve"> vanuit de overlegtafel</w:t>
      </w:r>
      <w:r w:rsidRPr="0099259E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beveiligd </w:t>
      </w:r>
      <w:r w:rsidRPr="0099259E">
        <w:rPr>
          <w:rFonts w:cs="Arial"/>
          <w:color w:val="FF0000"/>
        </w:rPr>
        <w:t xml:space="preserve">naar </w:t>
      </w:r>
      <w:hyperlink r:id="rId11" w:history="1">
        <w:r w:rsidRPr="003911CF">
          <w:rPr>
            <w:rStyle w:val="Hyperlink"/>
            <w:rFonts w:cs="Arial"/>
          </w:rPr>
          <w:t>contracteringregio@nijmegen.nl</w:t>
        </w:r>
      </w:hyperlink>
      <w:r>
        <w:rPr>
          <w:rFonts w:cs="Arial"/>
          <w:color w:val="FF0000"/>
        </w:rPr>
        <w:t xml:space="preserve"> worden gestuurd.</w:t>
      </w:r>
    </w:p>
    <w:sectPr w:rsidR="0022211B" w:rsidRPr="005F4BA0" w:rsidSect="00813529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1B" w:rsidRDefault="0022211B" w:rsidP="003E33AA">
      <w:r>
        <w:separator/>
      </w:r>
    </w:p>
  </w:endnote>
  <w:endnote w:type="continuationSeparator" w:id="0">
    <w:p w:rsidR="0022211B" w:rsidRDefault="0022211B" w:rsidP="003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B" w:rsidRDefault="0022211B" w:rsidP="00232355">
    <w:pPr>
      <w:pStyle w:val="Voettekst"/>
      <w:ind w:left="3600"/>
    </w:pPr>
    <w:r>
      <w:t xml:space="preserve">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19E8A83E" wp14:editId="130CB023">
          <wp:extent cx="3411415" cy="494319"/>
          <wp:effectExtent l="0" t="0" r="0" b="0"/>
          <wp:docPr id="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B - textueel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415" cy="49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1B" w:rsidRDefault="0022211B" w:rsidP="003E33AA">
      <w:r>
        <w:separator/>
      </w:r>
    </w:p>
  </w:footnote>
  <w:footnote w:type="continuationSeparator" w:id="0">
    <w:p w:rsidR="0022211B" w:rsidRDefault="0022211B" w:rsidP="003E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B" w:rsidRDefault="00572EB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9525" o:spid="_x0000_s2056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achtergrondletterhead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B" w:rsidRDefault="00572EB1" w:rsidP="00232355"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9526" o:spid="_x0000_s2057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achtergrondletterhead (2)"/>
          <w10:wrap anchorx="margin" anchory="margin"/>
        </v:shape>
      </w:pict>
    </w:r>
    <w:r w:rsidR="0022211B">
      <w:rPr>
        <w:noProof/>
      </w:rPr>
      <w:softHyphen/>
    </w:r>
    <w:r w:rsidR="0022211B">
      <w:rPr>
        <w:noProof/>
      </w:rPr>
      <w:softHyphen/>
    </w:r>
    <w:r w:rsidR="0022211B">
      <w:rPr>
        <w:noProof/>
      </w:rPr>
      <w:softHyphen/>
    </w:r>
    <w:r w:rsidR="0022211B">
      <w:rPr>
        <w:noProof/>
      </w:rPr>
      <w:softHyphen/>
    </w:r>
    <w:r w:rsidR="0022211B">
      <w:rPr>
        <w:noProof/>
      </w:rPr>
      <w:softHyphen/>
    </w:r>
    <w:r w:rsidR="0022211B">
      <w:rPr>
        <w:noProof/>
      </w:rPr>
      <w:softHyphen/>
    </w:r>
    <w:r w:rsidR="0022211B">
      <w:t xml:space="preserve">                                                                                                                                           </w:t>
    </w:r>
    <w:r w:rsidR="0022211B">
      <w:rPr>
        <w:noProof/>
        <w:lang w:eastAsia="nl-NL"/>
      </w:rPr>
      <w:drawing>
        <wp:inline distT="0" distB="0" distL="0" distR="0" wp14:anchorId="7BB87C57" wp14:editId="1D482AF0">
          <wp:extent cx="922308" cy="568210"/>
          <wp:effectExtent l="0" t="0" r="5080" b="381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OB - logo zonder text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29" cy="59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1B" w:rsidRDefault="00572EB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9524" o:spid="_x0000_s2055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achtergrondletterhead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704"/>
    <w:multiLevelType w:val="hybridMultilevel"/>
    <w:tmpl w:val="40AA4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A35"/>
    <w:multiLevelType w:val="hybridMultilevel"/>
    <w:tmpl w:val="0B8C571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398"/>
    <w:multiLevelType w:val="hybridMultilevel"/>
    <w:tmpl w:val="DACC8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882"/>
    <w:multiLevelType w:val="hybridMultilevel"/>
    <w:tmpl w:val="1C74E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ED2"/>
    <w:multiLevelType w:val="hybridMultilevel"/>
    <w:tmpl w:val="A55C54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334C"/>
    <w:multiLevelType w:val="hybridMultilevel"/>
    <w:tmpl w:val="30CA097E"/>
    <w:lvl w:ilvl="0" w:tplc="CE0411F2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6EDE"/>
    <w:multiLevelType w:val="hybridMultilevel"/>
    <w:tmpl w:val="56345F14"/>
    <w:lvl w:ilvl="0" w:tplc="433E2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382"/>
    <w:multiLevelType w:val="hybridMultilevel"/>
    <w:tmpl w:val="AF8C3DB2"/>
    <w:lvl w:ilvl="0" w:tplc="CE0411F2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0492B"/>
    <w:multiLevelType w:val="hybridMultilevel"/>
    <w:tmpl w:val="B0C05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FE7"/>
    <w:multiLevelType w:val="hybridMultilevel"/>
    <w:tmpl w:val="0FD001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B1C10"/>
    <w:multiLevelType w:val="hybridMultilevel"/>
    <w:tmpl w:val="2C0C33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632F"/>
    <w:multiLevelType w:val="hybridMultilevel"/>
    <w:tmpl w:val="7F8A4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4430"/>
    <w:multiLevelType w:val="hybridMultilevel"/>
    <w:tmpl w:val="EDB4C0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F6ABD"/>
    <w:multiLevelType w:val="hybridMultilevel"/>
    <w:tmpl w:val="EA460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211A6"/>
    <w:multiLevelType w:val="hybridMultilevel"/>
    <w:tmpl w:val="767E5B14"/>
    <w:lvl w:ilvl="0" w:tplc="056C52C2">
      <w:start w:val="6511"/>
      <w:numFmt w:val="bullet"/>
      <w:lvlText w:val=""/>
      <w:lvlJc w:val="left"/>
      <w:pPr>
        <w:ind w:left="1080" w:hanging="720"/>
      </w:pPr>
      <w:rPr>
        <w:rFonts w:ascii="Symbol" w:eastAsia="Calibri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951CD"/>
    <w:multiLevelType w:val="hybridMultilevel"/>
    <w:tmpl w:val="CAD6EB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D0700"/>
    <w:multiLevelType w:val="hybridMultilevel"/>
    <w:tmpl w:val="82FEC1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BA"/>
    <w:rsid w:val="00001F50"/>
    <w:rsid w:val="000041E8"/>
    <w:rsid w:val="000103EA"/>
    <w:rsid w:val="0003712B"/>
    <w:rsid w:val="00050D53"/>
    <w:rsid w:val="0006572B"/>
    <w:rsid w:val="00075DC6"/>
    <w:rsid w:val="000773C0"/>
    <w:rsid w:val="0008107E"/>
    <w:rsid w:val="000B2444"/>
    <w:rsid w:val="000E04A4"/>
    <w:rsid w:val="000E4451"/>
    <w:rsid w:val="0010608D"/>
    <w:rsid w:val="001122B7"/>
    <w:rsid w:val="00141140"/>
    <w:rsid w:val="00156CC3"/>
    <w:rsid w:val="001642B9"/>
    <w:rsid w:val="00164639"/>
    <w:rsid w:val="001945C5"/>
    <w:rsid w:val="001A4531"/>
    <w:rsid w:val="001C0E3C"/>
    <w:rsid w:val="00221194"/>
    <w:rsid w:val="0022211B"/>
    <w:rsid w:val="00232355"/>
    <w:rsid w:val="00242392"/>
    <w:rsid w:val="00252213"/>
    <w:rsid w:val="00260942"/>
    <w:rsid w:val="002624EB"/>
    <w:rsid w:val="002A25AC"/>
    <w:rsid w:val="002B4EDC"/>
    <w:rsid w:val="002F16D9"/>
    <w:rsid w:val="002F1936"/>
    <w:rsid w:val="00346F2E"/>
    <w:rsid w:val="0036588E"/>
    <w:rsid w:val="00385DB4"/>
    <w:rsid w:val="003A6052"/>
    <w:rsid w:val="003C4E6E"/>
    <w:rsid w:val="003D5F3F"/>
    <w:rsid w:val="003E33AA"/>
    <w:rsid w:val="00423290"/>
    <w:rsid w:val="004B6321"/>
    <w:rsid w:val="004B7CB0"/>
    <w:rsid w:val="004C3F34"/>
    <w:rsid w:val="004C5907"/>
    <w:rsid w:val="004D3C62"/>
    <w:rsid w:val="004E30BA"/>
    <w:rsid w:val="004E5216"/>
    <w:rsid w:val="004E6812"/>
    <w:rsid w:val="004F594E"/>
    <w:rsid w:val="005530DF"/>
    <w:rsid w:val="00560D7E"/>
    <w:rsid w:val="0056172B"/>
    <w:rsid w:val="00562350"/>
    <w:rsid w:val="005723EB"/>
    <w:rsid w:val="00572EB1"/>
    <w:rsid w:val="0058422A"/>
    <w:rsid w:val="00595E28"/>
    <w:rsid w:val="005D1BB7"/>
    <w:rsid w:val="005D5A9F"/>
    <w:rsid w:val="005E710E"/>
    <w:rsid w:val="005F0A3F"/>
    <w:rsid w:val="005F4BA0"/>
    <w:rsid w:val="006124C2"/>
    <w:rsid w:val="00630F34"/>
    <w:rsid w:val="00631D05"/>
    <w:rsid w:val="006343D3"/>
    <w:rsid w:val="00634729"/>
    <w:rsid w:val="00636A3D"/>
    <w:rsid w:val="00641DA8"/>
    <w:rsid w:val="006752A7"/>
    <w:rsid w:val="00680CC7"/>
    <w:rsid w:val="00685E38"/>
    <w:rsid w:val="00697CBA"/>
    <w:rsid w:val="006D2DEC"/>
    <w:rsid w:val="006E1C15"/>
    <w:rsid w:val="006E4A6E"/>
    <w:rsid w:val="006F6C51"/>
    <w:rsid w:val="00700186"/>
    <w:rsid w:val="007059D4"/>
    <w:rsid w:val="00725B72"/>
    <w:rsid w:val="007403CF"/>
    <w:rsid w:val="007C53A1"/>
    <w:rsid w:val="00813529"/>
    <w:rsid w:val="00830EC3"/>
    <w:rsid w:val="00865C2D"/>
    <w:rsid w:val="00866288"/>
    <w:rsid w:val="00871765"/>
    <w:rsid w:val="00873D25"/>
    <w:rsid w:val="008B44D3"/>
    <w:rsid w:val="008B4BE6"/>
    <w:rsid w:val="008D5F46"/>
    <w:rsid w:val="008D7087"/>
    <w:rsid w:val="008D7C42"/>
    <w:rsid w:val="00901FE2"/>
    <w:rsid w:val="00912FE1"/>
    <w:rsid w:val="00925C3F"/>
    <w:rsid w:val="009313FE"/>
    <w:rsid w:val="009320D1"/>
    <w:rsid w:val="00945CB9"/>
    <w:rsid w:val="00990A73"/>
    <w:rsid w:val="0099259E"/>
    <w:rsid w:val="009A6C18"/>
    <w:rsid w:val="009C4B78"/>
    <w:rsid w:val="009F2F53"/>
    <w:rsid w:val="009F5FA7"/>
    <w:rsid w:val="00A2668A"/>
    <w:rsid w:val="00A50491"/>
    <w:rsid w:val="00A52646"/>
    <w:rsid w:val="00A712F4"/>
    <w:rsid w:val="00A7678C"/>
    <w:rsid w:val="00A831CF"/>
    <w:rsid w:val="00A85C30"/>
    <w:rsid w:val="00A9126B"/>
    <w:rsid w:val="00A94F45"/>
    <w:rsid w:val="00AB652E"/>
    <w:rsid w:val="00AB6EB9"/>
    <w:rsid w:val="00AD7178"/>
    <w:rsid w:val="00AE4FDA"/>
    <w:rsid w:val="00B1139E"/>
    <w:rsid w:val="00B11552"/>
    <w:rsid w:val="00B40033"/>
    <w:rsid w:val="00B42103"/>
    <w:rsid w:val="00B715A5"/>
    <w:rsid w:val="00BA19EB"/>
    <w:rsid w:val="00BD1F9A"/>
    <w:rsid w:val="00BF03E9"/>
    <w:rsid w:val="00BF4B4F"/>
    <w:rsid w:val="00BF794B"/>
    <w:rsid w:val="00C06240"/>
    <w:rsid w:val="00C13FD7"/>
    <w:rsid w:val="00C150C6"/>
    <w:rsid w:val="00C21E00"/>
    <w:rsid w:val="00C24F2D"/>
    <w:rsid w:val="00C37F68"/>
    <w:rsid w:val="00C51165"/>
    <w:rsid w:val="00C56C31"/>
    <w:rsid w:val="00C749E6"/>
    <w:rsid w:val="00C76AC2"/>
    <w:rsid w:val="00C8190F"/>
    <w:rsid w:val="00C81E75"/>
    <w:rsid w:val="00CA1648"/>
    <w:rsid w:val="00CA5C27"/>
    <w:rsid w:val="00CB4587"/>
    <w:rsid w:val="00CC082D"/>
    <w:rsid w:val="00CC6A23"/>
    <w:rsid w:val="00CD6170"/>
    <w:rsid w:val="00CE01DF"/>
    <w:rsid w:val="00CF66FB"/>
    <w:rsid w:val="00D20E7A"/>
    <w:rsid w:val="00D234FD"/>
    <w:rsid w:val="00D34BA9"/>
    <w:rsid w:val="00D4604B"/>
    <w:rsid w:val="00D51EE8"/>
    <w:rsid w:val="00D56474"/>
    <w:rsid w:val="00D6695A"/>
    <w:rsid w:val="00D8607F"/>
    <w:rsid w:val="00D865AE"/>
    <w:rsid w:val="00D905AF"/>
    <w:rsid w:val="00D96CFE"/>
    <w:rsid w:val="00DC15A0"/>
    <w:rsid w:val="00DD44A1"/>
    <w:rsid w:val="00E057D6"/>
    <w:rsid w:val="00E6070A"/>
    <w:rsid w:val="00E65BA7"/>
    <w:rsid w:val="00E962E6"/>
    <w:rsid w:val="00EA5E80"/>
    <w:rsid w:val="00EB570E"/>
    <w:rsid w:val="00EF6103"/>
    <w:rsid w:val="00F067BF"/>
    <w:rsid w:val="00F17B7A"/>
    <w:rsid w:val="00F27819"/>
    <w:rsid w:val="00F30F4B"/>
    <w:rsid w:val="00F32DD2"/>
    <w:rsid w:val="00F374A9"/>
    <w:rsid w:val="00F50273"/>
    <w:rsid w:val="00F65DE1"/>
    <w:rsid w:val="00F67F70"/>
    <w:rsid w:val="00F84A15"/>
    <w:rsid w:val="00F876BE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0BF6F08"/>
  <w15:docId w15:val="{2F7EE41C-6D57-438A-8050-2A79CDA9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4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60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3AA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E33A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3E33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E33A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E33A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3AA"/>
  </w:style>
  <w:style w:type="paragraph" w:styleId="Voettekst">
    <w:name w:val="footer"/>
    <w:basedOn w:val="Standaard"/>
    <w:link w:val="VoettekstChar"/>
    <w:uiPriority w:val="99"/>
    <w:unhideWhenUsed/>
    <w:rsid w:val="003E33A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3AA"/>
  </w:style>
  <w:style w:type="paragraph" w:customStyle="1" w:styleId="sysClassificatie">
    <w:name w:val="sys Classificatie"/>
    <w:basedOn w:val="Standaard"/>
    <w:rsid w:val="00B40033"/>
    <w:pPr>
      <w:framePr w:w="4253" w:h="1920" w:hSpace="142" w:vSpace="142" w:wrap="notBeside" w:hAnchor="text" w:y="1419"/>
      <w:spacing w:line="240" w:lineRule="atLeast"/>
    </w:pPr>
    <w:rPr>
      <w:rFonts w:ascii="Arial" w:eastAsia="Times New Roman" w:hAnsi="Arial"/>
      <w:caps/>
      <w:sz w:val="20"/>
      <w:szCs w:val="20"/>
      <w:lang w:eastAsia="nl-NL"/>
    </w:rPr>
  </w:style>
  <w:style w:type="paragraph" w:customStyle="1" w:styleId="sysAdressering">
    <w:name w:val="sys Adressering"/>
    <w:basedOn w:val="sysClassificatie"/>
    <w:rsid w:val="00B40033"/>
    <w:pPr>
      <w:framePr w:wrap="notBeside"/>
    </w:pPr>
    <w:rPr>
      <w:caps w:val="0"/>
    </w:rPr>
  </w:style>
  <w:style w:type="paragraph" w:customStyle="1" w:styleId="Default">
    <w:name w:val="Default"/>
    <w:rsid w:val="00F278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/>
    </w:rPr>
  </w:style>
  <w:style w:type="paragraph" w:styleId="Lijstalinea">
    <w:name w:val="List Paragraph"/>
    <w:basedOn w:val="Standaard"/>
    <w:link w:val="LijstalineaChar"/>
    <w:uiPriority w:val="34"/>
    <w:qFormat/>
    <w:rsid w:val="00D234FD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D5F3F"/>
    <w:rPr>
      <w:sz w:val="24"/>
      <w:szCs w:val="24"/>
    </w:rPr>
  </w:style>
  <w:style w:type="paragraph" w:styleId="Geenafstand">
    <w:name w:val="No Spacing"/>
    <w:uiPriority w:val="1"/>
    <w:qFormat/>
    <w:rsid w:val="00F30F4B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AE4F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3A60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873D25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22211B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71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4851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9341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34087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06528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8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6572">
                                      <w:marLeft w:val="0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6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eringregio@nijmegen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racteringregio@nijmegen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bregionijmegen.nl/bouwstenen-en-tariev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bregionijmegen.nl/gecontracteerde-aanbieders-en-productcod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046C4-D1E2-4827-89B3-D504F804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Nijmegen</Company>
  <LinksUpToDate>false</LinksUpToDate>
  <CharactersWithSpaces>4314</CharactersWithSpaces>
  <SharedDoc>false</SharedDoc>
  <HLinks>
    <vt:vector size="6" baseType="variant"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mailto:B.linders@nijmegen.nl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Robbert de Graaff</cp:lastModifiedBy>
  <cp:revision>3</cp:revision>
  <cp:lastPrinted>2022-03-04T08:23:00Z</cp:lastPrinted>
  <dcterms:created xsi:type="dcterms:W3CDTF">2022-03-29T14:12:00Z</dcterms:created>
  <dcterms:modified xsi:type="dcterms:W3CDTF">2022-03-30T10:27:00Z</dcterms:modified>
</cp:coreProperties>
</file>