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13B" w:rsidRDefault="00DD3EC3" w:rsidP="00DD3EC3">
      <w:pPr>
        <w:pStyle w:val="Kop1"/>
      </w:pPr>
      <w:r>
        <w:t xml:space="preserve">Mogelijke situaties beschermd wonen </w:t>
      </w:r>
    </w:p>
    <w:p w:rsidR="00DD3EC3" w:rsidRPr="004D4792" w:rsidRDefault="004D4792" w:rsidP="00DD3EC3">
      <w:pPr>
        <w:pStyle w:val="Geenafstand"/>
        <w:spacing w:after="0"/>
        <w:rPr>
          <w:b/>
          <w:i/>
        </w:rPr>
      </w:pPr>
      <w:r w:rsidRPr="004D4792">
        <w:rPr>
          <w:b/>
          <w:i/>
        </w:rPr>
        <w:t xml:space="preserve">Document voor zorgaanbieders beschermd wonen. </w:t>
      </w:r>
    </w:p>
    <w:p w:rsidR="00DD3EC3" w:rsidRDefault="00DD3EC3" w:rsidP="00DD3EC3">
      <w:pPr>
        <w:pStyle w:val="Geenafstand"/>
        <w:spacing w:after="0"/>
      </w:pPr>
    </w:p>
    <w:p w:rsidR="00577C42" w:rsidRDefault="00577C42" w:rsidP="004D4792">
      <w:pPr>
        <w:pStyle w:val="Kop2"/>
      </w:pPr>
      <w:r>
        <w:t>Partijen:</w:t>
      </w:r>
    </w:p>
    <w:p w:rsidR="00577C42" w:rsidRPr="00577C42" w:rsidRDefault="00577C42" w:rsidP="00577C42">
      <w:pPr>
        <w:pStyle w:val="Geenafstand"/>
        <w:numPr>
          <w:ilvl w:val="0"/>
          <w:numId w:val="2"/>
        </w:numPr>
        <w:spacing w:after="0"/>
        <w:rPr>
          <w:b/>
        </w:rPr>
      </w:pPr>
      <w:r>
        <w:t>Cliënt</w:t>
      </w:r>
    </w:p>
    <w:p w:rsidR="00577C42" w:rsidRPr="00577C42" w:rsidRDefault="00577C42" w:rsidP="00577C42">
      <w:pPr>
        <w:pStyle w:val="Geenafstand"/>
        <w:numPr>
          <w:ilvl w:val="0"/>
          <w:numId w:val="2"/>
        </w:numPr>
        <w:spacing w:after="0"/>
        <w:rPr>
          <w:b/>
        </w:rPr>
      </w:pPr>
      <w:r>
        <w:t>GGD</w:t>
      </w:r>
    </w:p>
    <w:p w:rsidR="00577C42" w:rsidRPr="00577C42" w:rsidRDefault="00577C42" w:rsidP="00577C42">
      <w:pPr>
        <w:pStyle w:val="Geenafstand"/>
        <w:numPr>
          <w:ilvl w:val="0"/>
          <w:numId w:val="2"/>
        </w:numPr>
        <w:spacing w:after="0"/>
        <w:rPr>
          <w:b/>
        </w:rPr>
      </w:pPr>
      <w:r>
        <w:t>Backoffice</w:t>
      </w:r>
    </w:p>
    <w:p w:rsidR="00577C42" w:rsidRPr="00577C42" w:rsidRDefault="00577C42" w:rsidP="00577C42">
      <w:pPr>
        <w:pStyle w:val="Geenafstand"/>
        <w:numPr>
          <w:ilvl w:val="0"/>
          <w:numId w:val="2"/>
        </w:numPr>
        <w:spacing w:after="0"/>
        <w:rPr>
          <w:b/>
        </w:rPr>
      </w:pPr>
      <w:r>
        <w:t>Hoofdaanbieder (de aanbieder aan wie de intramurale zorg toegewezen is)</w:t>
      </w:r>
    </w:p>
    <w:p w:rsidR="00CA7A2E" w:rsidRDefault="00CA7A2E" w:rsidP="00DD3EC3">
      <w:pPr>
        <w:pStyle w:val="Geenafstand"/>
        <w:spacing w:after="0"/>
        <w:rPr>
          <w:b/>
        </w:rPr>
      </w:pPr>
    </w:p>
    <w:p w:rsidR="004D4792" w:rsidRDefault="004D4792" w:rsidP="004D4792">
      <w:pPr>
        <w:pStyle w:val="Kop2"/>
      </w:pPr>
      <w:r>
        <w:t xml:space="preserve">Basissituaties: </w:t>
      </w:r>
    </w:p>
    <w:p w:rsidR="00DD3EC3" w:rsidRPr="00DD3EC3" w:rsidRDefault="00DD3EC3" w:rsidP="00DD3EC3">
      <w:pPr>
        <w:pStyle w:val="Geenafstand"/>
        <w:spacing w:after="0"/>
        <w:rPr>
          <w:b/>
        </w:rPr>
      </w:pPr>
      <w:r>
        <w:rPr>
          <w:b/>
        </w:rPr>
        <w:t>Basis situatie</w:t>
      </w:r>
      <w:r w:rsidR="004D4792">
        <w:rPr>
          <w:b/>
        </w:rPr>
        <w:t xml:space="preserve"> 1</w:t>
      </w:r>
      <w:r w:rsidR="00A110AE">
        <w:rPr>
          <w:b/>
        </w:rPr>
        <w:t>: Hoofda</w:t>
      </w:r>
      <w:r w:rsidRPr="00DD3EC3">
        <w:rPr>
          <w:b/>
        </w:rPr>
        <w:t>anbieder gaat intramurale zorg leveren</w:t>
      </w:r>
      <w:r w:rsidR="00B65878">
        <w:rPr>
          <w:b/>
        </w:rPr>
        <w:t xml:space="preserve"> aan nieuwe cliënt</w:t>
      </w:r>
    </w:p>
    <w:p w:rsidR="00DD3EC3" w:rsidRDefault="00DD3EC3" w:rsidP="00DD3EC3">
      <w:pPr>
        <w:pStyle w:val="Geenafstand"/>
        <w:spacing w:after="0"/>
      </w:pPr>
      <w:r>
        <w:t xml:space="preserve">Route: </w:t>
      </w:r>
    </w:p>
    <w:p w:rsidR="00DD3EC3" w:rsidRDefault="00DD3EC3" w:rsidP="00DD3EC3">
      <w:pPr>
        <w:pStyle w:val="Geenafstand"/>
        <w:numPr>
          <w:ilvl w:val="0"/>
          <w:numId w:val="1"/>
        </w:numPr>
        <w:spacing w:after="0"/>
      </w:pPr>
      <w:r>
        <w:t>GGD stuurt aanvraag naar Backoffice</w:t>
      </w:r>
      <w:r w:rsidR="00B65878">
        <w:t xml:space="preserve"> voor BW of BT</w:t>
      </w:r>
      <w:r w:rsidR="00270203">
        <w:t xml:space="preserve"> en </w:t>
      </w:r>
      <w:proofErr w:type="spellStart"/>
      <w:r w:rsidR="00270203">
        <w:t>evt</w:t>
      </w:r>
      <w:proofErr w:type="spellEnd"/>
      <w:r w:rsidR="00270203">
        <w:t xml:space="preserve"> aanvullende bouwstenen</w:t>
      </w:r>
    </w:p>
    <w:p w:rsidR="00DD3EC3" w:rsidRDefault="00DD3EC3" w:rsidP="00DD3EC3">
      <w:pPr>
        <w:pStyle w:val="Geenafstand"/>
        <w:numPr>
          <w:ilvl w:val="0"/>
          <w:numId w:val="1"/>
        </w:numPr>
        <w:spacing w:after="0"/>
      </w:pPr>
      <w:r>
        <w:t>Backoffice</w:t>
      </w:r>
      <w:r w:rsidR="00B65878">
        <w:t xml:space="preserve"> </w:t>
      </w:r>
      <w:r>
        <w:t xml:space="preserve">stuurt beschikking naar cliënt </w:t>
      </w:r>
      <w:r w:rsidR="00B65878">
        <w:t xml:space="preserve">voor BW of BT </w:t>
      </w:r>
      <w:r>
        <w:t xml:space="preserve">en </w:t>
      </w:r>
      <w:r w:rsidR="004A26BE">
        <w:t xml:space="preserve">dagbesteding en een </w:t>
      </w:r>
      <w:r>
        <w:t>toekenning naar aanbieder</w:t>
      </w:r>
      <w:r w:rsidR="00B65878">
        <w:t xml:space="preserve"> voor laagste product van BW</w:t>
      </w:r>
      <w:r w:rsidR="00C750CC">
        <w:t xml:space="preserve"> (15N11)</w:t>
      </w:r>
      <w:r w:rsidR="00B65878">
        <w:t xml:space="preserve"> of BT</w:t>
      </w:r>
      <w:r w:rsidR="00C750CC">
        <w:t>(15N02)</w:t>
      </w:r>
      <w:r w:rsidR="00F87EE8">
        <w:t xml:space="preserve"> en</w:t>
      </w:r>
      <w:r w:rsidR="004A26BE">
        <w:t xml:space="preserve"> eventueel aanvullende producten.</w:t>
      </w:r>
    </w:p>
    <w:p w:rsidR="00DD3EC3" w:rsidRDefault="00A110AE" w:rsidP="00B65878">
      <w:pPr>
        <w:pStyle w:val="Geenafstand"/>
        <w:numPr>
          <w:ilvl w:val="0"/>
          <w:numId w:val="1"/>
        </w:numPr>
        <w:spacing w:after="0"/>
      </w:pPr>
      <w:r>
        <w:t>Hoofda</w:t>
      </w:r>
      <w:r w:rsidR="00DD3EC3">
        <w:t xml:space="preserve">anbieder </w:t>
      </w:r>
      <w:r w:rsidR="00B65878">
        <w:t>stuurt, indien nodig, een WMO315-bericht met daarin de juiste productcode</w:t>
      </w:r>
      <w:r w:rsidR="00F87EE8">
        <w:t xml:space="preserve"> en eventueel een aanvraag voor dagbesteding (15N21, max 5 dagdelen per week)</w:t>
      </w:r>
      <w:r w:rsidR="00B65878">
        <w:t>. De zorg wordt gestart</w:t>
      </w:r>
      <w:r w:rsidR="00F87EE8">
        <w:t xml:space="preserve">. </w:t>
      </w:r>
    </w:p>
    <w:p w:rsidR="00B65878" w:rsidRDefault="00B65878" w:rsidP="00B65878">
      <w:pPr>
        <w:pStyle w:val="Geenafstand"/>
        <w:spacing w:after="0"/>
        <w:rPr>
          <w:b/>
        </w:rPr>
      </w:pPr>
    </w:p>
    <w:p w:rsidR="00B65878" w:rsidRPr="00DD3EC3" w:rsidRDefault="00B65878" w:rsidP="00B65878">
      <w:pPr>
        <w:pStyle w:val="Geenafstand"/>
        <w:spacing w:after="0"/>
        <w:rPr>
          <w:b/>
        </w:rPr>
      </w:pPr>
      <w:r>
        <w:rPr>
          <w:b/>
        </w:rPr>
        <w:t>Basis situatie</w:t>
      </w:r>
      <w:r w:rsidR="004D4792">
        <w:rPr>
          <w:b/>
        </w:rPr>
        <w:t xml:space="preserve"> 2</w:t>
      </w:r>
      <w:r>
        <w:rPr>
          <w:b/>
        </w:rPr>
        <w:t>: Hoofda</w:t>
      </w:r>
      <w:r w:rsidRPr="00DD3EC3">
        <w:rPr>
          <w:b/>
        </w:rPr>
        <w:t>anbieder</w:t>
      </w:r>
      <w:r w:rsidR="004A26BE">
        <w:rPr>
          <w:b/>
        </w:rPr>
        <w:t xml:space="preserve"> levert </w:t>
      </w:r>
      <w:r w:rsidRPr="00DD3EC3">
        <w:rPr>
          <w:b/>
        </w:rPr>
        <w:t xml:space="preserve">intramurale zorg </w:t>
      </w:r>
      <w:r>
        <w:rPr>
          <w:b/>
        </w:rPr>
        <w:t>cliënt</w:t>
      </w:r>
      <w:r w:rsidR="004A26BE">
        <w:rPr>
          <w:b/>
        </w:rPr>
        <w:t>, wordt verlengd</w:t>
      </w:r>
    </w:p>
    <w:p w:rsidR="00B65878" w:rsidRDefault="00B65878" w:rsidP="00B65878">
      <w:pPr>
        <w:pStyle w:val="Geenafstand"/>
        <w:spacing w:after="0"/>
      </w:pPr>
      <w:r>
        <w:t xml:space="preserve">Route: </w:t>
      </w:r>
    </w:p>
    <w:p w:rsidR="00B65878" w:rsidRDefault="00B65878" w:rsidP="00B65878">
      <w:pPr>
        <w:pStyle w:val="Geenafstand"/>
        <w:numPr>
          <w:ilvl w:val="0"/>
          <w:numId w:val="1"/>
        </w:numPr>
        <w:spacing w:after="0"/>
      </w:pPr>
      <w:r>
        <w:t>GGD stuurt aanvraag naar Backoffice voor BW of BT</w:t>
      </w:r>
      <w:r w:rsidR="00270203">
        <w:t xml:space="preserve"> en </w:t>
      </w:r>
      <w:proofErr w:type="spellStart"/>
      <w:r w:rsidR="00270203">
        <w:t>evt</w:t>
      </w:r>
      <w:proofErr w:type="spellEnd"/>
      <w:r w:rsidR="00270203">
        <w:t xml:space="preserve"> aanvullende bouwstenen</w:t>
      </w:r>
    </w:p>
    <w:p w:rsidR="004A26BE" w:rsidRDefault="004A26BE" w:rsidP="004A26BE">
      <w:pPr>
        <w:pStyle w:val="Geenafstand"/>
        <w:numPr>
          <w:ilvl w:val="0"/>
          <w:numId w:val="1"/>
        </w:numPr>
        <w:spacing w:after="0"/>
      </w:pPr>
      <w:r>
        <w:t>Backoffice stuurt beschikking naar cliënt voor BW of BT en dagbesteding en een toekenning naar aanbieder voor laatste product van BW (15N11) of BT(15N02)</w:t>
      </w:r>
      <w:r w:rsidR="00546A72">
        <w:t xml:space="preserve"> </w:t>
      </w:r>
      <w:r>
        <w:t>en eventueel aanvullende producten.</w:t>
      </w:r>
    </w:p>
    <w:p w:rsidR="00B65878" w:rsidRDefault="00B65878" w:rsidP="00B65878">
      <w:pPr>
        <w:pStyle w:val="Geenafstand"/>
        <w:numPr>
          <w:ilvl w:val="0"/>
          <w:numId w:val="1"/>
        </w:numPr>
        <w:spacing w:after="0"/>
      </w:pPr>
      <w:r>
        <w:t>Hoofdaanbieder stuurt, indien nodig, een WMO315-bericht met daarin de juiste productcode. De zorg wordt gestart</w:t>
      </w:r>
    </w:p>
    <w:p w:rsidR="00DD3EC3" w:rsidRDefault="00DD3EC3" w:rsidP="00DD3EC3">
      <w:pPr>
        <w:pStyle w:val="Geenafstand"/>
        <w:spacing w:after="0"/>
      </w:pPr>
    </w:p>
    <w:p w:rsidR="00E766F5" w:rsidRPr="00B65878" w:rsidRDefault="00E766F5" w:rsidP="00E766F5">
      <w:pPr>
        <w:pStyle w:val="Kop2"/>
      </w:pPr>
      <w:r w:rsidRPr="00B65878">
        <w:t>Aandachtspunten:</w:t>
      </w:r>
    </w:p>
    <w:p w:rsidR="00E766F5" w:rsidRPr="00B65878" w:rsidRDefault="00E766F5" w:rsidP="00E766F5">
      <w:pPr>
        <w:pStyle w:val="Lijstalinea"/>
        <w:numPr>
          <w:ilvl w:val="0"/>
          <w:numId w:val="5"/>
        </w:numPr>
      </w:pPr>
      <w:r w:rsidRPr="00B65878">
        <w:t xml:space="preserve">Aanbieder mag alleen indicatie wijzigen binnen de periode die de GGD aangegeven heeft. </w:t>
      </w:r>
    </w:p>
    <w:p w:rsidR="00E766F5" w:rsidRDefault="00E766F5" w:rsidP="00E766F5">
      <w:pPr>
        <w:pStyle w:val="Lijstalinea"/>
        <w:numPr>
          <w:ilvl w:val="0"/>
          <w:numId w:val="5"/>
        </w:numPr>
      </w:pPr>
      <w:r w:rsidRPr="00B65878">
        <w:t>Als de GGD BW heeft geïndiceerd dan mag aanbieder alle hoofdindicaties kiezen</w:t>
      </w:r>
      <w:r>
        <w:t xml:space="preserve"> bij op- en </w:t>
      </w:r>
      <w:proofErr w:type="spellStart"/>
      <w:r>
        <w:t>afschaling</w:t>
      </w:r>
      <w:proofErr w:type="spellEnd"/>
      <w:r w:rsidRPr="00B65878">
        <w:t xml:space="preserve">. Als de GGD BT heeft geïndiceerd mag de aanbieder alleen de hoofindicatie wijzigen in een andere BT indicatie. </w:t>
      </w:r>
    </w:p>
    <w:p w:rsidR="00E766F5" w:rsidRDefault="00E766F5" w:rsidP="00E766F5">
      <w:pPr>
        <w:pStyle w:val="Lijstalinea"/>
        <w:numPr>
          <w:ilvl w:val="0"/>
          <w:numId w:val="5"/>
        </w:numPr>
      </w:pPr>
      <w:r>
        <w:t>De aanbieder mag van de aanvullende producten de volgende producten zelf aanvragen:</w:t>
      </w:r>
    </w:p>
    <w:p w:rsidR="00E766F5" w:rsidRDefault="00E766F5" w:rsidP="00E766F5">
      <w:pPr>
        <w:pStyle w:val="Lijstalinea"/>
        <w:numPr>
          <w:ilvl w:val="1"/>
          <w:numId w:val="5"/>
        </w:numPr>
      </w:pPr>
      <w:r>
        <w:t>Overbruggingszorg</w:t>
      </w:r>
    </w:p>
    <w:p w:rsidR="00E766F5" w:rsidRDefault="00E766F5" w:rsidP="00E766F5">
      <w:pPr>
        <w:pStyle w:val="Lijstalinea"/>
        <w:numPr>
          <w:ilvl w:val="1"/>
          <w:numId w:val="5"/>
        </w:numPr>
      </w:pPr>
      <w:proofErr w:type="spellStart"/>
      <w:r>
        <w:t>Afwezigheidsdag</w:t>
      </w:r>
      <w:proofErr w:type="spellEnd"/>
      <w:r>
        <w:t xml:space="preserve"> (max 2 maanden)</w:t>
      </w:r>
      <w:r w:rsidR="009E2AE8">
        <w:t>. Is langer nodig dan contact opnemen met Yvonne Muris.</w:t>
      </w:r>
    </w:p>
    <w:p w:rsidR="00A007FA" w:rsidRDefault="00A007FA" w:rsidP="00E766F5">
      <w:pPr>
        <w:pStyle w:val="Lijstalinea"/>
        <w:numPr>
          <w:ilvl w:val="1"/>
          <w:numId w:val="5"/>
        </w:numPr>
      </w:pPr>
      <w:r>
        <w:t>Dagbesteding voor maximaal 5 dagdelen per week</w:t>
      </w:r>
    </w:p>
    <w:p w:rsidR="000661A2" w:rsidRDefault="004D4792" w:rsidP="004D4792">
      <w:pPr>
        <w:pStyle w:val="Kop2"/>
      </w:pPr>
      <w:r>
        <w:t>Wijzigingen vanuit aanbieder:</w:t>
      </w:r>
    </w:p>
    <w:p w:rsidR="00B65878" w:rsidRDefault="00B65878" w:rsidP="00CA7A2E">
      <w:pPr>
        <w:pStyle w:val="Geenafstand"/>
        <w:spacing w:after="0"/>
        <w:rPr>
          <w:b/>
        </w:rPr>
      </w:pPr>
      <w:r>
        <w:rPr>
          <w:b/>
        </w:rPr>
        <w:t xml:space="preserve">Situatie </w:t>
      </w:r>
      <w:r w:rsidR="00270203">
        <w:rPr>
          <w:b/>
        </w:rPr>
        <w:t>1</w:t>
      </w:r>
      <w:r>
        <w:rPr>
          <w:b/>
        </w:rPr>
        <w:t>: Klant heeft overbruggingszorg nodig</w:t>
      </w:r>
    </w:p>
    <w:p w:rsidR="00B65878" w:rsidRDefault="00B65878" w:rsidP="00CA7A2E">
      <w:pPr>
        <w:pStyle w:val="Geenafstand"/>
        <w:spacing w:after="0"/>
      </w:pPr>
      <w:r>
        <w:t>Route:</w:t>
      </w:r>
    </w:p>
    <w:p w:rsidR="004D4792" w:rsidRPr="004D4792" w:rsidRDefault="004D4792" w:rsidP="004D4792">
      <w:pPr>
        <w:numPr>
          <w:ilvl w:val="0"/>
          <w:numId w:val="1"/>
        </w:numPr>
        <w:spacing w:after="0" w:line="240" w:lineRule="auto"/>
      </w:pPr>
      <w:r w:rsidRPr="004D4792">
        <w:t>Hoofdaanbieder dient een WMO315</w:t>
      </w:r>
      <w:r w:rsidR="00C750CC">
        <w:t>-bericht in voor overbruggingszorg</w:t>
      </w:r>
      <w:r w:rsidRPr="004D4792">
        <w:t xml:space="preserve">. </w:t>
      </w:r>
    </w:p>
    <w:p w:rsidR="004D4792" w:rsidRDefault="004D4792" w:rsidP="004D4792">
      <w:pPr>
        <w:numPr>
          <w:ilvl w:val="0"/>
          <w:numId w:val="1"/>
        </w:numPr>
        <w:spacing w:after="0" w:line="240" w:lineRule="auto"/>
      </w:pPr>
      <w:r w:rsidRPr="004D4792">
        <w:t>Backoffice stuurt 301. Cliënt ontvangt geen beschikking.</w:t>
      </w:r>
    </w:p>
    <w:p w:rsidR="004D4792" w:rsidRPr="004D4792" w:rsidRDefault="004D4792" w:rsidP="004D4792">
      <w:pPr>
        <w:spacing w:after="0" w:line="240" w:lineRule="auto"/>
        <w:ind w:left="720"/>
      </w:pPr>
    </w:p>
    <w:p w:rsidR="00CA7A2E" w:rsidRDefault="00270203" w:rsidP="00CA7A2E">
      <w:pPr>
        <w:pStyle w:val="Geenafstand"/>
        <w:spacing w:after="0"/>
        <w:rPr>
          <w:b/>
        </w:rPr>
      </w:pPr>
      <w:r>
        <w:rPr>
          <w:b/>
        </w:rPr>
        <w:t>Situatie 2</w:t>
      </w:r>
      <w:r w:rsidR="00CA7A2E">
        <w:rPr>
          <w:b/>
        </w:rPr>
        <w:t>: Overbruggingszorg stopt omdat klant intramuraal gaat wonen</w:t>
      </w:r>
    </w:p>
    <w:p w:rsidR="00CA7A2E" w:rsidRDefault="00CA7A2E" w:rsidP="00CA7A2E">
      <w:pPr>
        <w:pStyle w:val="Geenafstand"/>
        <w:spacing w:after="0"/>
      </w:pPr>
      <w:r>
        <w:t>Route:</w:t>
      </w:r>
    </w:p>
    <w:p w:rsidR="00CA7A2E" w:rsidRDefault="00CA7A2E" w:rsidP="00CA7A2E">
      <w:pPr>
        <w:pStyle w:val="Geenafstand"/>
        <w:numPr>
          <w:ilvl w:val="0"/>
          <w:numId w:val="1"/>
        </w:numPr>
        <w:spacing w:after="0"/>
      </w:pPr>
      <w:r>
        <w:t xml:space="preserve">Hoofdaanbieder stuurt 307-bericht naar Backoffice voor het stopzetten van de </w:t>
      </w:r>
      <w:r w:rsidR="00B65878">
        <w:t>overbruggingszorg</w:t>
      </w:r>
      <w:r w:rsidR="00270203">
        <w:t>.</w:t>
      </w:r>
    </w:p>
    <w:p w:rsidR="00CA7A2E" w:rsidRDefault="00CA7A2E" w:rsidP="00CA7A2E">
      <w:pPr>
        <w:pStyle w:val="Geenafstand"/>
        <w:spacing w:after="0"/>
      </w:pPr>
    </w:p>
    <w:p w:rsidR="00CA7A2E" w:rsidRDefault="00CA7A2E" w:rsidP="00CA7A2E">
      <w:pPr>
        <w:pStyle w:val="Geenafstand"/>
        <w:spacing w:after="0"/>
        <w:rPr>
          <w:b/>
        </w:rPr>
      </w:pPr>
      <w:r>
        <w:rPr>
          <w:b/>
        </w:rPr>
        <w:t xml:space="preserve">Situatie </w:t>
      </w:r>
      <w:r w:rsidR="00270203">
        <w:rPr>
          <w:b/>
        </w:rPr>
        <w:t>3</w:t>
      </w:r>
      <w:r>
        <w:rPr>
          <w:b/>
        </w:rPr>
        <w:t>: Hoofdaanbieder wil intramurale indicatie afschalen</w:t>
      </w:r>
    </w:p>
    <w:p w:rsidR="00CA7A2E" w:rsidRDefault="00CA7A2E" w:rsidP="00CA7A2E">
      <w:pPr>
        <w:pStyle w:val="Geenafstand"/>
        <w:spacing w:after="0"/>
      </w:pPr>
      <w:r>
        <w:t xml:space="preserve">Route: </w:t>
      </w:r>
    </w:p>
    <w:p w:rsidR="00CA7A2E" w:rsidRDefault="00CA7A2E" w:rsidP="00CA7A2E">
      <w:pPr>
        <w:pStyle w:val="Geenafstand"/>
        <w:numPr>
          <w:ilvl w:val="0"/>
          <w:numId w:val="1"/>
        </w:numPr>
        <w:spacing w:after="0"/>
      </w:pPr>
      <w:r>
        <w:t xml:space="preserve">Hoofdaanbieder stuurt </w:t>
      </w:r>
      <w:r w:rsidR="00270203">
        <w:t>een WMO315 naar Backoffice voor juiste product</w:t>
      </w:r>
    </w:p>
    <w:p w:rsidR="006328F3" w:rsidRPr="00B65878" w:rsidRDefault="00CA7A2E" w:rsidP="00B65878">
      <w:pPr>
        <w:pStyle w:val="Geenafstand"/>
        <w:numPr>
          <w:ilvl w:val="0"/>
          <w:numId w:val="1"/>
        </w:numPr>
        <w:spacing w:after="200"/>
        <w:rPr>
          <w:b/>
        </w:rPr>
      </w:pPr>
      <w:r>
        <w:t>Backoffice wijzigt de indicatie en stuurt toekenning naar aanbieder. Cliënt ontvangt geen beschikking.</w:t>
      </w:r>
    </w:p>
    <w:p w:rsidR="00CA7A2E" w:rsidRDefault="00270203" w:rsidP="00CA7A2E">
      <w:pPr>
        <w:pStyle w:val="Geenafstand"/>
        <w:spacing w:after="0"/>
        <w:rPr>
          <w:b/>
        </w:rPr>
      </w:pPr>
      <w:r>
        <w:rPr>
          <w:b/>
        </w:rPr>
        <w:t>Situatie 4</w:t>
      </w:r>
      <w:r w:rsidR="00CA7A2E">
        <w:rPr>
          <w:b/>
        </w:rPr>
        <w:t>: Hoofdaanbieder wil intramurale indicatie opschalen</w:t>
      </w:r>
      <w:r w:rsidR="004A26BE">
        <w:rPr>
          <w:b/>
        </w:rPr>
        <w:t xml:space="preserve"> binnen BW of BT</w:t>
      </w:r>
    </w:p>
    <w:p w:rsidR="00270203" w:rsidRPr="00270203" w:rsidRDefault="00270203" w:rsidP="00270203">
      <w:pPr>
        <w:spacing w:after="0" w:line="240" w:lineRule="auto"/>
      </w:pPr>
      <w:r w:rsidRPr="00270203">
        <w:t xml:space="preserve">Route: </w:t>
      </w:r>
    </w:p>
    <w:p w:rsidR="00270203" w:rsidRPr="00270203" w:rsidRDefault="00270203" w:rsidP="00270203">
      <w:pPr>
        <w:numPr>
          <w:ilvl w:val="0"/>
          <w:numId w:val="1"/>
        </w:numPr>
        <w:spacing w:after="0" w:line="240" w:lineRule="auto"/>
      </w:pPr>
      <w:r w:rsidRPr="00270203">
        <w:t>Hoofdaanbieder stuurt een WMO315 naar Backoffice voor juiste product</w:t>
      </w:r>
    </w:p>
    <w:p w:rsidR="001A5CEC" w:rsidRPr="001A5CEC" w:rsidRDefault="00270203" w:rsidP="001A5CEC">
      <w:pPr>
        <w:numPr>
          <w:ilvl w:val="0"/>
          <w:numId w:val="1"/>
        </w:numPr>
        <w:spacing w:after="0" w:line="240" w:lineRule="auto"/>
        <w:ind w:left="714" w:hanging="357"/>
        <w:rPr>
          <w:b/>
        </w:rPr>
      </w:pPr>
      <w:r w:rsidRPr="00270203">
        <w:t>Backoffice wijzigt de indicatie en stuurt toekenning naar aanbieder. Cliënt ontvangt geen beschikking.</w:t>
      </w:r>
      <w:r w:rsidR="001A5CEC">
        <w:t xml:space="preserve"> </w:t>
      </w:r>
    </w:p>
    <w:p w:rsidR="001A5CEC" w:rsidRPr="001A5CEC" w:rsidRDefault="009E2AE8" w:rsidP="00EB654B">
      <w:pPr>
        <w:numPr>
          <w:ilvl w:val="0"/>
          <w:numId w:val="1"/>
        </w:numPr>
        <w:spacing w:after="200" w:line="240" w:lineRule="auto"/>
        <w:rPr>
          <w:b/>
        </w:rPr>
      </w:pPr>
      <w:r>
        <w:t>V</w:t>
      </w:r>
      <w:r w:rsidR="001A5CEC">
        <w:t>an</w:t>
      </w:r>
      <w:r>
        <w:t xml:space="preserve"> </w:t>
      </w:r>
      <w:r w:rsidR="001A5CEC">
        <w:t>BT naar BW mag alleen als de GGD BW geïndiceerd heeft</w:t>
      </w:r>
    </w:p>
    <w:p w:rsidR="00270203" w:rsidRPr="00270203" w:rsidRDefault="00270203" w:rsidP="00270203">
      <w:pPr>
        <w:pStyle w:val="Geenafstand"/>
        <w:spacing w:after="0"/>
        <w:rPr>
          <w:b/>
        </w:rPr>
      </w:pPr>
      <w:r w:rsidRPr="00270203">
        <w:rPr>
          <w:b/>
        </w:rPr>
        <w:t xml:space="preserve">Situatie </w:t>
      </w:r>
      <w:r>
        <w:rPr>
          <w:b/>
        </w:rPr>
        <w:t>5</w:t>
      </w:r>
      <w:r w:rsidRPr="00270203">
        <w:rPr>
          <w:b/>
        </w:rPr>
        <w:t>: De hoofdaanbieder moet gewijzigd worden</w:t>
      </w:r>
    </w:p>
    <w:p w:rsidR="00270203" w:rsidRPr="00270203" w:rsidRDefault="00270203" w:rsidP="00270203">
      <w:pPr>
        <w:pStyle w:val="Geenafstand"/>
        <w:spacing w:after="0"/>
      </w:pPr>
      <w:r w:rsidRPr="00270203">
        <w:t>Route:</w:t>
      </w:r>
    </w:p>
    <w:p w:rsidR="00270203" w:rsidRPr="00270203" w:rsidRDefault="00270203" w:rsidP="00270203">
      <w:pPr>
        <w:pStyle w:val="Geenafstand"/>
        <w:numPr>
          <w:ilvl w:val="0"/>
          <w:numId w:val="7"/>
        </w:numPr>
        <w:spacing w:after="0"/>
      </w:pPr>
      <w:r w:rsidRPr="00270203">
        <w:t>Hoofdaanbieder die nu de indicatie heeft stuurt wijzigingsformulier naar Backoffice met daarop gegevens oude hoofdaanbieder, nieuwe hoofdaanbieder en wijzigingsdatum.</w:t>
      </w:r>
    </w:p>
    <w:p w:rsidR="00CA7A2E" w:rsidRDefault="00270203" w:rsidP="00270203">
      <w:pPr>
        <w:pStyle w:val="Lijstalinea"/>
        <w:numPr>
          <w:ilvl w:val="0"/>
          <w:numId w:val="7"/>
        </w:numPr>
      </w:pPr>
      <w:r>
        <w:t>Backoffice sluit indicatie bij oude hoofdaanbieder af en stuurt een toekenning naar nieuwe hoofdaanbieder. Cliënt ontvangt beschikking voor wijziging hoofdaanbieder.</w:t>
      </w:r>
    </w:p>
    <w:p w:rsidR="00CA7A2E" w:rsidRDefault="006328F3" w:rsidP="00CA7A2E">
      <w:pPr>
        <w:spacing w:after="0"/>
        <w:rPr>
          <w:b/>
        </w:rPr>
      </w:pPr>
      <w:r>
        <w:rPr>
          <w:b/>
        </w:rPr>
        <w:t xml:space="preserve">Situatie </w:t>
      </w:r>
      <w:r w:rsidR="00270203">
        <w:rPr>
          <w:b/>
        </w:rPr>
        <w:t>6</w:t>
      </w:r>
      <w:r w:rsidR="00CA7A2E">
        <w:rPr>
          <w:b/>
        </w:rPr>
        <w:t xml:space="preserve">: Cliënt heeft </w:t>
      </w:r>
      <w:r w:rsidR="00E766F5">
        <w:rPr>
          <w:b/>
        </w:rPr>
        <w:t>BW nodig maar GGD heeft BT</w:t>
      </w:r>
      <w:r w:rsidR="00CA7A2E">
        <w:rPr>
          <w:b/>
        </w:rPr>
        <w:t xml:space="preserve"> geïndiceerd</w:t>
      </w:r>
      <w:r w:rsidR="004D4792">
        <w:rPr>
          <w:b/>
        </w:rPr>
        <w:t>, aanvullende producten nodig</w:t>
      </w:r>
      <w:r w:rsidR="00CA7A2E">
        <w:rPr>
          <w:b/>
        </w:rPr>
        <w:t xml:space="preserve"> of heeft een indicatie die afloopt</w:t>
      </w:r>
    </w:p>
    <w:p w:rsidR="00CA7A2E" w:rsidRDefault="00CA7A2E" w:rsidP="00CA7A2E">
      <w:pPr>
        <w:spacing w:after="0"/>
      </w:pPr>
      <w:r>
        <w:t>Route:</w:t>
      </w:r>
    </w:p>
    <w:p w:rsidR="00CA7A2E" w:rsidRDefault="00CA7A2E" w:rsidP="00CA7A2E">
      <w:pPr>
        <w:pStyle w:val="Lijstalinea"/>
        <w:numPr>
          <w:ilvl w:val="0"/>
          <w:numId w:val="1"/>
        </w:numPr>
        <w:spacing w:after="0"/>
      </w:pPr>
      <w:r>
        <w:t xml:space="preserve">Cliënt meldt zich opnieuw bij de GGD, deze beoordeelt of er een nieuwe indicatie afgegeven moet worden. </w:t>
      </w:r>
    </w:p>
    <w:p w:rsidR="00B65878" w:rsidRDefault="00B65878" w:rsidP="00B65878">
      <w:pPr>
        <w:pStyle w:val="Lijstalinea"/>
        <w:spacing w:after="0"/>
      </w:pPr>
    </w:p>
    <w:p w:rsidR="00B65878" w:rsidRPr="00B65878" w:rsidRDefault="00B65878" w:rsidP="00B65878">
      <w:pPr>
        <w:spacing w:after="0" w:line="240" w:lineRule="auto"/>
        <w:rPr>
          <w:b/>
        </w:rPr>
      </w:pPr>
      <w:r w:rsidRPr="00B65878">
        <w:rPr>
          <w:b/>
        </w:rPr>
        <w:t xml:space="preserve">Situatie </w:t>
      </w:r>
      <w:r w:rsidR="00270203">
        <w:rPr>
          <w:b/>
        </w:rPr>
        <w:t>7</w:t>
      </w:r>
      <w:r w:rsidRPr="00B65878">
        <w:rPr>
          <w:b/>
        </w:rPr>
        <w:t>: Cliënt wil geen zorg meer van hoofdaanbieder</w:t>
      </w:r>
    </w:p>
    <w:p w:rsidR="00B65878" w:rsidRPr="00B65878" w:rsidRDefault="00B65878" w:rsidP="00B65878">
      <w:pPr>
        <w:spacing w:after="0" w:line="240" w:lineRule="auto"/>
      </w:pPr>
      <w:r w:rsidRPr="00B65878">
        <w:t xml:space="preserve">Route: </w:t>
      </w:r>
    </w:p>
    <w:p w:rsidR="00B65878" w:rsidRDefault="00B65878" w:rsidP="00B65878">
      <w:pPr>
        <w:numPr>
          <w:ilvl w:val="0"/>
          <w:numId w:val="1"/>
        </w:numPr>
        <w:spacing w:line="240" w:lineRule="auto"/>
      </w:pPr>
      <w:r w:rsidRPr="00B65878">
        <w:t>Hoofdaanbieder (of GGD) brengt casus in bij het ketenoverleg. Daar wordt gekeken hoe de situatie opgepakt gaat worden.</w:t>
      </w:r>
    </w:p>
    <w:p w:rsidR="004D4792" w:rsidRPr="004D4792" w:rsidRDefault="004D4792" w:rsidP="004D4792">
      <w:pPr>
        <w:spacing w:after="0" w:line="240" w:lineRule="auto"/>
        <w:rPr>
          <w:b/>
        </w:rPr>
      </w:pPr>
      <w:r w:rsidRPr="004D4792">
        <w:rPr>
          <w:b/>
        </w:rPr>
        <w:t xml:space="preserve">Situatie </w:t>
      </w:r>
      <w:r>
        <w:rPr>
          <w:b/>
        </w:rPr>
        <w:t>8</w:t>
      </w:r>
      <w:r w:rsidRPr="004D4792">
        <w:rPr>
          <w:b/>
        </w:rPr>
        <w:t xml:space="preserve">: Klant </w:t>
      </w:r>
      <w:r>
        <w:rPr>
          <w:b/>
        </w:rPr>
        <w:t xml:space="preserve">is afwezig waardoor indicatie </w:t>
      </w:r>
      <w:proofErr w:type="spellStart"/>
      <w:r>
        <w:rPr>
          <w:b/>
        </w:rPr>
        <w:t>afwezigheidsdag</w:t>
      </w:r>
      <w:proofErr w:type="spellEnd"/>
      <w:r>
        <w:rPr>
          <w:b/>
        </w:rPr>
        <w:t xml:space="preserve"> ingezet wordt</w:t>
      </w:r>
    </w:p>
    <w:p w:rsidR="004D4792" w:rsidRPr="004D4792" w:rsidRDefault="004D4792" w:rsidP="004D4792">
      <w:pPr>
        <w:spacing w:after="0" w:line="240" w:lineRule="auto"/>
      </w:pPr>
      <w:r w:rsidRPr="004D4792">
        <w:t>Route:</w:t>
      </w:r>
    </w:p>
    <w:p w:rsidR="004D4792" w:rsidRDefault="004D4792" w:rsidP="004D4792">
      <w:pPr>
        <w:numPr>
          <w:ilvl w:val="0"/>
          <w:numId w:val="1"/>
        </w:numPr>
        <w:spacing w:after="0" w:line="240" w:lineRule="auto"/>
      </w:pPr>
      <w:r w:rsidRPr="004D4792">
        <w:t xml:space="preserve">Hoofdaanbieder dient een WMO315-bericht in voor </w:t>
      </w:r>
      <w:r>
        <w:t>afwezigheidsdag</w:t>
      </w:r>
      <w:r w:rsidRPr="004D4792">
        <w:t xml:space="preserve">. </w:t>
      </w:r>
    </w:p>
    <w:p w:rsidR="004D4792" w:rsidRPr="004D4792" w:rsidRDefault="004D4792" w:rsidP="004D4792">
      <w:pPr>
        <w:numPr>
          <w:ilvl w:val="0"/>
          <w:numId w:val="1"/>
        </w:numPr>
        <w:spacing w:after="0" w:line="240" w:lineRule="auto"/>
      </w:pPr>
      <w:r>
        <w:t>Backoffice stuurt 301</w:t>
      </w:r>
      <w:r w:rsidR="00C750CC">
        <w:t xml:space="preserve"> voor maximaal 2 maanden</w:t>
      </w:r>
      <w:r>
        <w:t xml:space="preserve">. </w:t>
      </w:r>
      <w:r w:rsidRPr="004D4792">
        <w:t>Cliënt ontvangt geen beschikking.</w:t>
      </w:r>
    </w:p>
    <w:p w:rsidR="004D4792" w:rsidRPr="004D4792" w:rsidRDefault="004D4792" w:rsidP="004D4792">
      <w:pPr>
        <w:spacing w:after="0" w:line="240" w:lineRule="auto"/>
        <w:rPr>
          <w:b/>
        </w:rPr>
      </w:pPr>
    </w:p>
    <w:p w:rsidR="004D4792" w:rsidRPr="004D4792" w:rsidRDefault="004D4792" w:rsidP="004D4792">
      <w:pPr>
        <w:spacing w:after="0" w:line="240" w:lineRule="auto"/>
        <w:rPr>
          <w:b/>
        </w:rPr>
      </w:pPr>
      <w:r>
        <w:rPr>
          <w:b/>
        </w:rPr>
        <w:t>Situatie 9</w:t>
      </w:r>
      <w:r w:rsidRPr="004D4792">
        <w:rPr>
          <w:b/>
        </w:rPr>
        <w:t xml:space="preserve">: </w:t>
      </w:r>
      <w:proofErr w:type="spellStart"/>
      <w:r>
        <w:rPr>
          <w:b/>
        </w:rPr>
        <w:t>Afwezigheidsdag</w:t>
      </w:r>
      <w:proofErr w:type="spellEnd"/>
      <w:r w:rsidRPr="004D4792">
        <w:rPr>
          <w:b/>
        </w:rPr>
        <w:t xml:space="preserve"> stopt omdat klant </w:t>
      </w:r>
      <w:r w:rsidR="00C750CC">
        <w:rPr>
          <w:b/>
        </w:rPr>
        <w:t>teruggaat naar intramurale plek</w:t>
      </w:r>
    </w:p>
    <w:p w:rsidR="004D4792" w:rsidRPr="004D4792" w:rsidRDefault="004D4792" w:rsidP="004D4792">
      <w:pPr>
        <w:spacing w:after="0" w:line="240" w:lineRule="auto"/>
      </w:pPr>
      <w:r w:rsidRPr="004D4792">
        <w:t>Route:</w:t>
      </w:r>
    </w:p>
    <w:p w:rsidR="00F87EE8" w:rsidRPr="00F87EE8" w:rsidRDefault="004D4792" w:rsidP="00F87EE8">
      <w:pPr>
        <w:numPr>
          <w:ilvl w:val="0"/>
          <w:numId w:val="1"/>
        </w:numPr>
        <w:spacing w:after="0" w:line="240" w:lineRule="auto"/>
      </w:pPr>
      <w:r w:rsidRPr="004D4792">
        <w:t xml:space="preserve">Hoofdaanbieder stuurt 307-bericht naar Backoffice voor het stopzetten van de </w:t>
      </w:r>
      <w:r w:rsidR="00E766F5">
        <w:t>afwezigheidsdag</w:t>
      </w:r>
      <w:r w:rsidRPr="004D4792">
        <w:t>.</w:t>
      </w:r>
    </w:p>
    <w:p w:rsidR="00B65878" w:rsidRDefault="00B65878" w:rsidP="00B65878">
      <w:pPr>
        <w:spacing w:after="0"/>
      </w:pPr>
    </w:p>
    <w:p w:rsidR="00B65878" w:rsidRDefault="00B65878" w:rsidP="00B65878">
      <w:pPr>
        <w:spacing w:after="0"/>
      </w:pPr>
    </w:p>
    <w:p w:rsidR="00B65878" w:rsidRDefault="00B65878" w:rsidP="00B65878">
      <w:pPr>
        <w:spacing w:after="0"/>
      </w:pPr>
    </w:p>
    <w:p w:rsidR="00B65878" w:rsidRDefault="00B65878" w:rsidP="00B65878">
      <w:pPr>
        <w:pStyle w:val="Kop2"/>
      </w:pPr>
      <w:r>
        <w:t>Woordenlijst:</w:t>
      </w:r>
    </w:p>
    <w:p w:rsidR="00B65878" w:rsidRDefault="00B65878" w:rsidP="00B65878">
      <w:pPr>
        <w:pStyle w:val="Lijstalinea"/>
        <w:numPr>
          <w:ilvl w:val="0"/>
          <w:numId w:val="4"/>
        </w:numPr>
        <w:spacing w:after="0"/>
      </w:pPr>
      <w:r>
        <w:t>Categorie: Indicatie valt onder Beschermd Wonen, Beschermd Thuis of Bereikbaarheid</w:t>
      </w:r>
    </w:p>
    <w:p w:rsidR="00B65878" w:rsidRDefault="001A5CEC" w:rsidP="00B65878">
      <w:pPr>
        <w:pStyle w:val="Lijstalinea"/>
        <w:numPr>
          <w:ilvl w:val="0"/>
          <w:numId w:val="4"/>
        </w:numPr>
        <w:spacing w:after="0"/>
      </w:pPr>
      <w:r>
        <w:t>Beschermd Wonen(</w:t>
      </w:r>
      <w:r w:rsidR="00B65878">
        <w:t>BW): iemand woont in een instelling</w:t>
      </w:r>
    </w:p>
    <w:p w:rsidR="00B65878" w:rsidRDefault="00B65878" w:rsidP="00B65878">
      <w:pPr>
        <w:pStyle w:val="Lijstalinea"/>
        <w:numPr>
          <w:ilvl w:val="0"/>
          <w:numId w:val="4"/>
        </w:numPr>
        <w:spacing w:after="0"/>
      </w:pPr>
      <w:r>
        <w:t>Beschermd Thuis (BT): iemand woont thuis met begeleiding van de instelling</w:t>
      </w:r>
    </w:p>
    <w:p w:rsidR="001A5CEC" w:rsidRDefault="001A5CEC" w:rsidP="00B65878">
      <w:pPr>
        <w:pStyle w:val="Lijstalinea"/>
        <w:numPr>
          <w:ilvl w:val="0"/>
          <w:numId w:val="4"/>
        </w:numPr>
        <w:spacing w:after="0"/>
      </w:pPr>
      <w:r>
        <w:t>Bereikbaar/beschikbaarheid. Klant woont thuis en heeft mogelijk buiten kantooruren begeleiding nodig. De beschikbaarheid wordt via lumpsum gefinancierd, de begeleiding wordt gewoon gedeclareerd. Er worden dan ook 2 producten toegekend: 15N01 en 15N31. Op het product 15N01 wordt dus niet gedeclareerd!</w:t>
      </w:r>
    </w:p>
    <w:p w:rsidR="00B65878" w:rsidRDefault="00B65878" w:rsidP="00B65878">
      <w:pPr>
        <w:pStyle w:val="Lijstalinea"/>
        <w:numPr>
          <w:ilvl w:val="0"/>
          <w:numId w:val="4"/>
        </w:numPr>
        <w:spacing w:after="0"/>
      </w:pPr>
      <w:r>
        <w:t xml:space="preserve">Hoofdindicatie: de indicatie BW of BT. </w:t>
      </w:r>
    </w:p>
    <w:p w:rsidR="00B65878" w:rsidRDefault="00B65878" w:rsidP="008D3775">
      <w:pPr>
        <w:pStyle w:val="Lijstalinea"/>
        <w:numPr>
          <w:ilvl w:val="0"/>
          <w:numId w:val="4"/>
        </w:numPr>
        <w:spacing w:after="0"/>
      </w:pPr>
      <w:r>
        <w:t>Aanvullende bouwstenen</w:t>
      </w:r>
      <w:r w:rsidR="008D3775">
        <w:t>: producten die worden ingezet naast de hoofdindicatie</w:t>
      </w:r>
      <w:r>
        <w:t>.</w:t>
      </w:r>
      <w:r w:rsidR="00270203">
        <w:t xml:space="preserve"> Aanvullende bouwstenen kunn</w:t>
      </w:r>
      <w:r w:rsidR="001A5CEC">
        <w:t>en alleen lopen binnen de BW/BT-</w:t>
      </w:r>
      <w:r w:rsidR="00270203">
        <w:t xml:space="preserve">indicatie. </w:t>
      </w:r>
    </w:p>
    <w:p w:rsidR="008D3775" w:rsidRDefault="008D3775">
      <w:pPr>
        <w:spacing w:after="200"/>
        <w:rPr>
          <w:rFonts w:ascii="Oranda BT" w:eastAsiaTheme="majorEastAsia" w:hAnsi="Oranda BT" w:cstheme="majorBidi"/>
          <w:b/>
          <w:color w:val="A90A2E"/>
          <w:sz w:val="28"/>
          <w:szCs w:val="26"/>
        </w:rPr>
      </w:pPr>
      <w:r>
        <w:br w:type="page"/>
      </w:r>
    </w:p>
    <w:p w:rsidR="00F4415A" w:rsidRDefault="00F4415A" w:rsidP="00F4415A">
      <w:pPr>
        <w:pStyle w:val="Kop2"/>
      </w:pPr>
      <w:r>
        <w:t>Overzicht</w:t>
      </w:r>
      <w:r w:rsidR="00546A72">
        <w:t xml:space="preserve"> wie wat aanvraagt</w:t>
      </w:r>
    </w:p>
    <w:p w:rsidR="00F4415A" w:rsidRDefault="00F4415A" w:rsidP="00B65878">
      <w:pPr>
        <w:spacing w:after="0"/>
      </w:pPr>
    </w:p>
    <w:tbl>
      <w:tblPr>
        <w:tblW w:w="98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17"/>
      </w:tblGrid>
      <w:tr w:rsidR="00E45655" w:rsidRPr="00F4415A" w:rsidTr="00E45655">
        <w:trPr>
          <w:trHeight w:val="247"/>
        </w:trPr>
        <w:tc>
          <w:tcPr>
            <w:tcW w:w="9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655" w:rsidRPr="00F4415A" w:rsidRDefault="00E45655" w:rsidP="00F4415A">
            <w:pPr>
              <w:spacing w:after="0"/>
              <w:rPr>
                <w:b/>
                <w:bCs/>
              </w:rPr>
            </w:pPr>
            <w:r w:rsidRPr="00F4415A">
              <w:rPr>
                <w:b/>
                <w:bCs/>
              </w:rPr>
              <w:t>GGD</w:t>
            </w:r>
          </w:p>
        </w:tc>
      </w:tr>
      <w:tr w:rsidR="00E45655" w:rsidRPr="00F4415A" w:rsidTr="00E45655">
        <w:trPr>
          <w:trHeight w:val="481"/>
        </w:trPr>
        <w:tc>
          <w:tcPr>
            <w:tcW w:w="9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655" w:rsidRPr="00F4415A" w:rsidRDefault="00E45655" w:rsidP="00F4415A">
            <w:pPr>
              <w:spacing w:after="0"/>
            </w:pPr>
            <w:r w:rsidRPr="00F4415A">
              <w:t>‘Hoofdind</w:t>
            </w:r>
            <w:r>
              <w:t>icatie’ afgeven voor BW of BT o</w:t>
            </w:r>
            <w:r w:rsidRPr="00F4415A">
              <w:t>f Beschermd Thuis: bereikbaarheid en beschikbaarheid (15N01</w:t>
            </w:r>
            <w:r>
              <w:t>)</w:t>
            </w:r>
          </w:p>
        </w:tc>
      </w:tr>
      <w:tr w:rsidR="00E45655" w:rsidRPr="00F4415A" w:rsidTr="00E45655">
        <w:trPr>
          <w:trHeight w:val="481"/>
        </w:trPr>
        <w:tc>
          <w:tcPr>
            <w:tcW w:w="9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655" w:rsidRPr="00F4415A" w:rsidRDefault="00E45655" w:rsidP="00F4415A">
            <w:pPr>
              <w:spacing w:after="0"/>
            </w:pPr>
            <w:r w:rsidRPr="00F4415A">
              <w:t>Aanvullende dagbesteding (bij meer dan 5 dagdelen), begeleiding of vervoer aanvragen</w:t>
            </w:r>
          </w:p>
        </w:tc>
      </w:tr>
      <w:tr w:rsidR="00E45655" w:rsidRPr="00F4415A" w:rsidTr="00E45655">
        <w:trPr>
          <w:trHeight w:val="234"/>
        </w:trPr>
        <w:tc>
          <w:tcPr>
            <w:tcW w:w="9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655" w:rsidRPr="00F4415A" w:rsidRDefault="00E45655" w:rsidP="00F4415A">
            <w:pPr>
              <w:spacing w:after="0"/>
            </w:pPr>
            <w:r w:rsidRPr="00F4415A">
              <w:t>Wijziging van ZIN naar PGB</w:t>
            </w:r>
          </w:p>
        </w:tc>
      </w:tr>
      <w:tr w:rsidR="00E45655" w:rsidRPr="00F4415A" w:rsidTr="00E45655">
        <w:trPr>
          <w:trHeight w:val="247"/>
        </w:trPr>
        <w:tc>
          <w:tcPr>
            <w:tcW w:w="9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655" w:rsidRPr="00F4415A" w:rsidRDefault="00E45655" w:rsidP="00F4415A">
            <w:pPr>
              <w:spacing w:after="0"/>
            </w:pPr>
            <w:r w:rsidRPr="00F4415A">
              <w:t>Wijziging van PGB naar ZIN</w:t>
            </w:r>
          </w:p>
        </w:tc>
      </w:tr>
      <w:tr w:rsidR="00E45655" w:rsidRPr="00F4415A" w:rsidTr="00E45655">
        <w:trPr>
          <w:trHeight w:val="481"/>
        </w:trPr>
        <w:tc>
          <w:tcPr>
            <w:tcW w:w="9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655" w:rsidRPr="00F4415A" w:rsidRDefault="00E45655" w:rsidP="00F4415A">
            <w:pPr>
              <w:spacing w:after="0"/>
            </w:pPr>
            <w:r w:rsidRPr="00F4415A">
              <w:t>Wijziging van BT naar BW als oorspronkelijk BT is geïndiceerd</w:t>
            </w:r>
          </w:p>
        </w:tc>
      </w:tr>
    </w:tbl>
    <w:p w:rsidR="00F4415A" w:rsidRDefault="00F4415A" w:rsidP="00B65878">
      <w:pPr>
        <w:spacing w:after="0"/>
      </w:pPr>
    </w:p>
    <w:tbl>
      <w:tblPr>
        <w:tblW w:w="98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41"/>
      </w:tblGrid>
      <w:tr w:rsidR="00E45655" w:rsidRPr="00F4415A" w:rsidTr="00E45655">
        <w:trPr>
          <w:trHeight w:val="307"/>
        </w:trPr>
        <w:tc>
          <w:tcPr>
            <w:tcW w:w="98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655" w:rsidRPr="00F4415A" w:rsidRDefault="00E45655" w:rsidP="00EB654B">
            <w:pPr>
              <w:spacing w:after="0"/>
              <w:rPr>
                <w:b/>
                <w:bCs/>
              </w:rPr>
            </w:pPr>
            <w:r w:rsidRPr="00F4415A">
              <w:rPr>
                <w:b/>
                <w:bCs/>
              </w:rPr>
              <w:t>Aanbieder</w:t>
            </w:r>
          </w:p>
        </w:tc>
      </w:tr>
      <w:tr w:rsidR="00E45655" w:rsidRPr="00F4415A" w:rsidTr="00E45655">
        <w:trPr>
          <w:trHeight w:val="254"/>
        </w:trPr>
        <w:tc>
          <w:tcPr>
            <w:tcW w:w="984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655" w:rsidRPr="00F4415A" w:rsidRDefault="00E45655" w:rsidP="00EB654B">
            <w:pPr>
              <w:spacing w:after="0"/>
            </w:pPr>
            <w:r>
              <w:t>Opschalen binnen BW/BT (</w:t>
            </w:r>
            <w:r w:rsidRPr="00F4415A">
              <w:t>als GGD BT heeft geïndiceerd mag aanbieder niet zelf opschalen naar BW)</w:t>
            </w:r>
          </w:p>
        </w:tc>
      </w:tr>
      <w:tr w:rsidR="00E45655" w:rsidRPr="00F4415A" w:rsidTr="00E45655">
        <w:trPr>
          <w:trHeight w:val="307"/>
        </w:trPr>
        <w:tc>
          <w:tcPr>
            <w:tcW w:w="984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655" w:rsidRPr="00F4415A" w:rsidRDefault="00E45655" w:rsidP="00EB654B">
            <w:pPr>
              <w:spacing w:after="0"/>
            </w:pPr>
            <w:r w:rsidRPr="00F4415A">
              <w:t xml:space="preserve">Afschalen </w:t>
            </w:r>
          </w:p>
        </w:tc>
      </w:tr>
      <w:tr w:rsidR="00E45655" w:rsidRPr="00F4415A" w:rsidTr="00E45655">
        <w:trPr>
          <w:trHeight w:val="291"/>
        </w:trPr>
        <w:tc>
          <w:tcPr>
            <w:tcW w:w="984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655" w:rsidRPr="00F4415A" w:rsidRDefault="00A007FA" w:rsidP="00A007FA">
            <w:pPr>
              <w:spacing w:after="0"/>
            </w:pPr>
            <w:r>
              <w:t xml:space="preserve">Dagbesteding, </w:t>
            </w:r>
            <w:proofErr w:type="spellStart"/>
            <w:r>
              <w:t>a</w:t>
            </w:r>
            <w:r w:rsidR="00E45655" w:rsidRPr="00F4415A">
              <w:t>fwezigheidsdag</w:t>
            </w:r>
            <w:proofErr w:type="spellEnd"/>
            <w:r w:rsidR="00E45655" w:rsidRPr="00F4415A">
              <w:t xml:space="preserve"> of overbruggingszorg aanvragen</w:t>
            </w:r>
          </w:p>
        </w:tc>
      </w:tr>
      <w:tr w:rsidR="00E45655" w:rsidRPr="00F4415A" w:rsidTr="00E45655">
        <w:trPr>
          <w:trHeight w:val="307"/>
        </w:trPr>
        <w:tc>
          <w:tcPr>
            <w:tcW w:w="984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655" w:rsidRPr="00F4415A" w:rsidRDefault="00E45655" w:rsidP="00EB654B">
            <w:pPr>
              <w:spacing w:after="0"/>
            </w:pPr>
            <w:r w:rsidRPr="00F4415A">
              <w:t>Hoofdaanbieder wijzigen (</w:t>
            </w:r>
            <w:proofErr w:type="spellStart"/>
            <w:r w:rsidRPr="00F4415A">
              <w:t>mbv</w:t>
            </w:r>
            <w:proofErr w:type="spellEnd"/>
            <w:r w:rsidRPr="00F4415A">
              <w:t xml:space="preserve"> wijzigingsformulier</w:t>
            </w:r>
            <w:r>
              <w:t>)</w:t>
            </w:r>
          </w:p>
        </w:tc>
      </w:tr>
    </w:tbl>
    <w:p w:rsidR="00E45655" w:rsidRDefault="00E45655" w:rsidP="00B65878">
      <w:pPr>
        <w:spacing w:after="0"/>
      </w:pPr>
    </w:p>
    <w:p w:rsidR="00A007FA" w:rsidRDefault="00A007FA" w:rsidP="00A007FA">
      <w:pPr>
        <w:pStyle w:val="Kop2"/>
      </w:pPr>
      <w:r>
        <w:t>Eigen bijdrage en beschermd wonen</w:t>
      </w:r>
    </w:p>
    <w:p w:rsidR="00A007FA" w:rsidRDefault="00A007FA" w:rsidP="00A007FA">
      <w:pPr>
        <w:spacing w:after="0"/>
      </w:pPr>
      <w:r>
        <w:t xml:space="preserve">Binnen beschermd wonen zijn er twee soorten eigen bijdrage die opgelegd kunnen worden; het abonnementstarief de hoge eigen bijdrage. </w:t>
      </w:r>
      <w:r w:rsidR="00EB654B">
        <w:t xml:space="preserve">Voor het juist opleggen van de eigen bijdrage maken wij gebruik van de 305 en 307 berichten. De eigen bijdrage wordt geïnd door het CAK. </w:t>
      </w:r>
    </w:p>
    <w:p w:rsidR="00EB654B" w:rsidRDefault="00EB654B" w:rsidP="00A007FA">
      <w:pPr>
        <w:spacing w:after="0"/>
      </w:pPr>
    </w:p>
    <w:p w:rsidR="00A007FA" w:rsidRDefault="00A007FA" w:rsidP="00A007FA">
      <w:pPr>
        <w:spacing w:after="0"/>
        <w:rPr>
          <w:b/>
        </w:rPr>
      </w:pPr>
      <w:r>
        <w:rPr>
          <w:b/>
        </w:rPr>
        <w:t>Abonnementstarief</w:t>
      </w:r>
    </w:p>
    <w:p w:rsidR="00A007FA" w:rsidRDefault="00A007FA" w:rsidP="00A007FA">
      <w:pPr>
        <w:spacing w:after="0"/>
      </w:pPr>
      <w:r>
        <w:t xml:space="preserve">Het abonnementstarief wordt opgelegd voor alle indicaties beschermd thuis (zowel voor zin als </w:t>
      </w:r>
      <w:proofErr w:type="spellStart"/>
      <w:r>
        <w:t>pgb</w:t>
      </w:r>
      <w:proofErr w:type="spellEnd"/>
      <w:r>
        <w:t xml:space="preserve">). De startdatum in het 305 bericht is gelijk aan de startdatum die wij aan het CAK doorgeven voor het abonnementstarief. Een cliënt betaalt het abonnementstarief zolang er 1 of meerdere voorzieningen waarvoor het abonnementstarief van toepassing is loopt. </w:t>
      </w:r>
      <w:r w:rsidR="00EB654B">
        <w:t xml:space="preserve">Het abonnementstarief is een vast bedrag per maand. </w:t>
      </w:r>
    </w:p>
    <w:p w:rsidR="00A007FA" w:rsidRDefault="00A007FA" w:rsidP="00A007FA">
      <w:pPr>
        <w:spacing w:after="0"/>
      </w:pPr>
    </w:p>
    <w:p w:rsidR="00A007FA" w:rsidRDefault="00A007FA" w:rsidP="00A007FA">
      <w:pPr>
        <w:spacing w:after="0"/>
      </w:pPr>
      <w:r>
        <w:rPr>
          <w:b/>
        </w:rPr>
        <w:t>Hoge eigen bijdrage</w:t>
      </w:r>
    </w:p>
    <w:p w:rsidR="00A007FA" w:rsidRDefault="00A007FA" w:rsidP="00A007FA">
      <w:pPr>
        <w:spacing w:after="0"/>
      </w:pPr>
      <w:r>
        <w:t xml:space="preserve">De hoge eigen bijdrage wordt opgelegd voor alle indicaties beschermd wonen (15N11, 15N12 en 15N13). </w:t>
      </w:r>
      <w:r w:rsidR="00EB654B">
        <w:t xml:space="preserve">Zodra de zorg start meldt de backoffice de cliënt aan bij het CAK voor de hoge eigen bijdrage. De hoge eigen bijdrage is inkomensafhankelijk. </w:t>
      </w:r>
    </w:p>
    <w:p w:rsidR="00EB654B" w:rsidRDefault="00EB654B" w:rsidP="00A007FA">
      <w:pPr>
        <w:spacing w:after="0"/>
      </w:pPr>
    </w:p>
    <w:p w:rsidR="00EB654B" w:rsidRPr="00EB654B" w:rsidRDefault="00EB654B" w:rsidP="00A007FA">
      <w:pPr>
        <w:spacing w:after="0"/>
        <w:rPr>
          <w:b/>
        </w:rPr>
      </w:pPr>
      <w:r>
        <w:rPr>
          <w:b/>
        </w:rPr>
        <w:t>Het proces van de eigen bijdrage in beeld</w:t>
      </w:r>
    </w:p>
    <w:p w:rsidR="00A007FA" w:rsidRPr="00A007FA" w:rsidRDefault="00A007FA" w:rsidP="00A007FA">
      <w:pPr>
        <w:spacing w:after="0"/>
      </w:pPr>
    </w:p>
    <w:p w:rsidR="00A007FA" w:rsidRPr="00A007FA" w:rsidRDefault="00A007FA" w:rsidP="00A007FA">
      <w:r>
        <w:object w:dxaOrig="2130" w:dyaOrig="810" w14:anchorId="104B8D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6.5pt;height:40.5pt" o:ole="">
            <v:imagedata r:id="rId8" o:title=""/>
          </v:shape>
          <o:OLEObject Type="Embed" ProgID="Package" ShapeID="_x0000_i1025" DrawAspect="Content" ObjectID="_1671626696" r:id="rId9"/>
        </w:object>
      </w:r>
    </w:p>
    <w:sectPr w:rsidR="00A007FA" w:rsidRPr="00A007FA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61AA" w:rsidRDefault="002361AA" w:rsidP="004D4792">
      <w:pPr>
        <w:spacing w:after="0" w:line="240" w:lineRule="auto"/>
      </w:pPr>
      <w:r>
        <w:separator/>
      </w:r>
    </w:p>
  </w:endnote>
  <w:endnote w:type="continuationSeparator" w:id="0">
    <w:p w:rsidR="002361AA" w:rsidRDefault="002361AA" w:rsidP="004D4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ource Sans Pro">
    <w:altName w:val="Cambria Math"/>
    <w:panose1 w:val="020B0503030403020204"/>
    <w:charset w:val="00"/>
    <w:family w:val="swiss"/>
    <w:pitch w:val="variable"/>
    <w:sig w:usb0="600002F7" w:usb1="02000001" w:usb2="00000000" w:usb3="00000000" w:csb0="0000019F" w:csb1="00000000"/>
    <w:embedRegular r:id="rId1" w:fontKey="{4004EF1B-717A-4CD5-8307-28D3485C289B}"/>
    <w:embedBold r:id="rId2" w:fontKey="{7B0EBACA-7E9D-484D-96FD-2C4C210CB66F}"/>
    <w:embedItalic r:id="rId3" w:fontKey="{A2DE299D-BCA4-43C1-B468-2CD7707A3664}"/>
    <w:embedBoldItalic r:id="rId4" w:fontKey="{E035AD0F-06FF-4016-8721-A1A76124EE66}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randa BT">
    <w:altName w:val="Times New Roman"/>
    <w:panose1 w:val="020A0603030505030204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54B" w:rsidRDefault="00EB654B">
    <w:pPr>
      <w:pStyle w:val="Voettekst"/>
    </w:pPr>
    <w:r>
      <w:fldChar w:fldCharType="begin"/>
    </w:r>
    <w:r>
      <w:instrText xml:space="preserve"> TIME \@ "d MMMM yyyy" </w:instrText>
    </w:r>
    <w:r>
      <w:fldChar w:fldCharType="separate"/>
    </w:r>
    <w:r w:rsidR="008D3775">
      <w:rPr>
        <w:noProof/>
      </w:rPr>
      <w:t>8 januari 2021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61AA" w:rsidRDefault="002361AA" w:rsidP="004D4792">
      <w:pPr>
        <w:spacing w:after="0" w:line="240" w:lineRule="auto"/>
      </w:pPr>
      <w:r>
        <w:separator/>
      </w:r>
    </w:p>
  </w:footnote>
  <w:footnote w:type="continuationSeparator" w:id="0">
    <w:p w:rsidR="002361AA" w:rsidRDefault="002361AA" w:rsidP="004D47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72DDD"/>
    <w:multiLevelType w:val="hybridMultilevel"/>
    <w:tmpl w:val="410A77D2"/>
    <w:lvl w:ilvl="0" w:tplc="B6685EA8">
      <w:numFmt w:val="bullet"/>
      <w:lvlText w:val="-"/>
      <w:lvlJc w:val="left"/>
      <w:pPr>
        <w:ind w:left="720" w:hanging="360"/>
      </w:pPr>
      <w:rPr>
        <w:rFonts w:ascii="Source Sans Pro" w:eastAsiaTheme="minorHAnsi" w:hAnsi="Source Sans Pro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EA2D22"/>
    <w:multiLevelType w:val="hybridMultilevel"/>
    <w:tmpl w:val="59882C4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913F2A"/>
    <w:multiLevelType w:val="hybridMultilevel"/>
    <w:tmpl w:val="B37AE60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AB1B70"/>
    <w:multiLevelType w:val="hybridMultilevel"/>
    <w:tmpl w:val="D8CEFF82"/>
    <w:lvl w:ilvl="0" w:tplc="B6685EA8">
      <w:numFmt w:val="bullet"/>
      <w:lvlText w:val="-"/>
      <w:lvlJc w:val="left"/>
      <w:pPr>
        <w:ind w:left="720" w:hanging="360"/>
      </w:pPr>
      <w:rPr>
        <w:rFonts w:ascii="Source Sans Pro" w:eastAsiaTheme="minorHAnsi" w:hAnsi="Source Sans Pro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F2585D"/>
    <w:multiLevelType w:val="hybridMultilevel"/>
    <w:tmpl w:val="6A4EA44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F302BD"/>
    <w:multiLevelType w:val="hybridMultilevel"/>
    <w:tmpl w:val="516E7612"/>
    <w:lvl w:ilvl="0" w:tplc="F2CAED2C">
      <w:numFmt w:val="bullet"/>
      <w:lvlText w:val="-"/>
      <w:lvlJc w:val="left"/>
      <w:pPr>
        <w:ind w:left="720" w:hanging="360"/>
      </w:pPr>
      <w:rPr>
        <w:rFonts w:ascii="Source Sans Pro" w:eastAsiaTheme="minorHAnsi" w:hAnsi="Source Sans Pro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196419"/>
    <w:multiLevelType w:val="hybridMultilevel"/>
    <w:tmpl w:val="BE16D09C"/>
    <w:lvl w:ilvl="0" w:tplc="B6685EA8">
      <w:numFmt w:val="bullet"/>
      <w:lvlText w:val="-"/>
      <w:lvlJc w:val="left"/>
      <w:pPr>
        <w:ind w:left="720" w:hanging="360"/>
      </w:pPr>
      <w:rPr>
        <w:rFonts w:ascii="Source Sans Pro" w:eastAsiaTheme="minorHAnsi" w:hAnsi="Source Sans Pro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EC3"/>
    <w:rsid w:val="00000047"/>
    <w:rsid w:val="00021ADE"/>
    <w:rsid w:val="00023188"/>
    <w:rsid w:val="000661A2"/>
    <w:rsid w:val="0015492D"/>
    <w:rsid w:val="001A5CEC"/>
    <w:rsid w:val="00212C48"/>
    <w:rsid w:val="002361AA"/>
    <w:rsid w:val="00270203"/>
    <w:rsid w:val="003F6D21"/>
    <w:rsid w:val="00493352"/>
    <w:rsid w:val="0049413B"/>
    <w:rsid w:val="004A09E1"/>
    <w:rsid w:val="004A26BE"/>
    <w:rsid w:val="004C4AC0"/>
    <w:rsid w:val="004D4792"/>
    <w:rsid w:val="004E2C7A"/>
    <w:rsid w:val="00546A72"/>
    <w:rsid w:val="00577C42"/>
    <w:rsid w:val="00593D3B"/>
    <w:rsid w:val="006328F3"/>
    <w:rsid w:val="006E35D8"/>
    <w:rsid w:val="006F26F1"/>
    <w:rsid w:val="00701C47"/>
    <w:rsid w:val="007102E5"/>
    <w:rsid w:val="00717FF9"/>
    <w:rsid w:val="007D0FDE"/>
    <w:rsid w:val="007E6013"/>
    <w:rsid w:val="0086615A"/>
    <w:rsid w:val="008A227A"/>
    <w:rsid w:val="008C1579"/>
    <w:rsid w:val="008D3775"/>
    <w:rsid w:val="00951AD6"/>
    <w:rsid w:val="0099226C"/>
    <w:rsid w:val="00996E71"/>
    <w:rsid w:val="009E2AE8"/>
    <w:rsid w:val="009E68BC"/>
    <w:rsid w:val="00A007FA"/>
    <w:rsid w:val="00A110AE"/>
    <w:rsid w:val="00A46B51"/>
    <w:rsid w:val="00AB00DE"/>
    <w:rsid w:val="00AD4796"/>
    <w:rsid w:val="00AE10A3"/>
    <w:rsid w:val="00B34E38"/>
    <w:rsid w:val="00B6307E"/>
    <w:rsid w:val="00B65878"/>
    <w:rsid w:val="00C07163"/>
    <w:rsid w:val="00C14B27"/>
    <w:rsid w:val="00C36D5A"/>
    <w:rsid w:val="00C4526A"/>
    <w:rsid w:val="00C750CC"/>
    <w:rsid w:val="00C84C75"/>
    <w:rsid w:val="00CA7A2E"/>
    <w:rsid w:val="00D510CC"/>
    <w:rsid w:val="00D6079D"/>
    <w:rsid w:val="00D94550"/>
    <w:rsid w:val="00D96FAD"/>
    <w:rsid w:val="00DA79DB"/>
    <w:rsid w:val="00DD3EC3"/>
    <w:rsid w:val="00DD60DF"/>
    <w:rsid w:val="00DE6A63"/>
    <w:rsid w:val="00E45655"/>
    <w:rsid w:val="00E766F5"/>
    <w:rsid w:val="00E82AB0"/>
    <w:rsid w:val="00EA2724"/>
    <w:rsid w:val="00EB081A"/>
    <w:rsid w:val="00EB654B"/>
    <w:rsid w:val="00EF217B"/>
    <w:rsid w:val="00F4415A"/>
    <w:rsid w:val="00F50235"/>
    <w:rsid w:val="00F721EA"/>
    <w:rsid w:val="00F82007"/>
    <w:rsid w:val="00F8763E"/>
    <w:rsid w:val="00F87EE8"/>
    <w:rsid w:val="00F93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36E81"/>
  <w15:docId w15:val="{5DF5946B-3AAA-4237-9E4A-3F2099F98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19"/>
        <w:szCs w:val="19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D4792"/>
    <w:pPr>
      <w:spacing w:after="300"/>
    </w:pPr>
    <w:rPr>
      <w:rFonts w:ascii="Source Sans Pro" w:hAnsi="Source Sans Pro"/>
    </w:rPr>
  </w:style>
  <w:style w:type="paragraph" w:styleId="Kop1">
    <w:name w:val="heading 1"/>
    <w:aliases w:val="Kopregel"/>
    <w:basedOn w:val="Standaard"/>
    <w:next w:val="Standaard"/>
    <w:link w:val="Kop1Char"/>
    <w:uiPriority w:val="9"/>
    <w:qFormat/>
    <w:rsid w:val="006F26F1"/>
    <w:pPr>
      <w:keepNext/>
      <w:keepLines/>
      <w:spacing w:before="240" w:after="0"/>
      <w:outlineLvl w:val="0"/>
    </w:pPr>
    <w:rPr>
      <w:rFonts w:ascii="Oranda BT" w:eastAsiaTheme="majorEastAsia" w:hAnsi="Oranda BT" w:cstheme="majorBidi"/>
      <w:b/>
      <w:color w:val="A90A2E"/>
      <w:sz w:val="48"/>
      <w:szCs w:val="32"/>
    </w:rPr>
  </w:style>
  <w:style w:type="paragraph" w:styleId="Kop2">
    <w:name w:val="heading 2"/>
    <w:aliases w:val="Tussenkop 1"/>
    <w:basedOn w:val="Standaard"/>
    <w:next w:val="Standaard"/>
    <w:link w:val="Kop2Char"/>
    <w:uiPriority w:val="9"/>
    <w:unhideWhenUsed/>
    <w:qFormat/>
    <w:rsid w:val="006F26F1"/>
    <w:pPr>
      <w:keepNext/>
      <w:keepLines/>
      <w:spacing w:before="40" w:after="0"/>
      <w:outlineLvl w:val="1"/>
    </w:pPr>
    <w:rPr>
      <w:rFonts w:ascii="Oranda BT" w:eastAsiaTheme="majorEastAsia" w:hAnsi="Oranda BT" w:cstheme="majorBidi"/>
      <w:b/>
      <w:color w:val="A90A2E"/>
      <w:sz w:val="28"/>
      <w:szCs w:val="26"/>
    </w:rPr>
  </w:style>
  <w:style w:type="paragraph" w:styleId="Kop3">
    <w:name w:val="heading 3"/>
    <w:aliases w:val="Tussenkop 2"/>
    <w:basedOn w:val="Standaard"/>
    <w:next w:val="Standaard"/>
    <w:link w:val="Kop3Char"/>
    <w:uiPriority w:val="9"/>
    <w:unhideWhenUsed/>
    <w:qFormat/>
    <w:rsid w:val="00F9371F"/>
    <w:pPr>
      <w:keepNext/>
      <w:keepLines/>
      <w:spacing w:before="40" w:after="0"/>
      <w:outlineLvl w:val="2"/>
    </w:pPr>
    <w:rPr>
      <w:rFonts w:eastAsiaTheme="majorEastAsia" w:cstheme="majorBidi"/>
      <w:b/>
      <w:sz w:val="22"/>
      <w:szCs w:val="24"/>
    </w:rPr>
  </w:style>
  <w:style w:type="paragraph" w:styleId="Kop4">
    <w:name w:val="heading 4"/>
    <w:aliases w:val="Tussenkop 3"/>
    <w:basedOn w:val="Standaard"/>
    <w:next w:val="Standaard"/>
    <w:link w:val="Kop4Char"/>
    <w:uiPriority w:val="9"/>
    <w:unhideWhenUsed/>
    <w:rsid w:val="00F9371F"/>
    <w:pPr>
      <w:keepNext/>
      <w:keepLines/>
      <w:spacing w:before="40" w:after="0"/>
      <w:outlineLvl w:val="3"/>
    </w:pPr>
    <w:rPr>
      <w:rFonts w:eastAsiaTheme="majorEastAsia" w:cstheme="majorBidi"/>
      <w:b/>
      <w:iCs/>
      <w:sz w:val="22"/>
    </w:rPr>
  </w:style>
  <w:style w:type="paragraph" w:styleId="Kop5">
    <w:name w:val="heading 5"/>
    <w:aliases w:val="Tussenkop 4"/>
    <w:basedOn w:val="Standaard"/>
    <w:next w:val="Standaard"/>
    <w:link w:val="Kop5Char"/>
    <w:uiPriority w:val="9"/>
    <w:unhideWhenUsed/>
    <w:rsid w:val="00F9371F"/>
    <w:pPr>
      <w:keepNext/>
      <w:keepLines/>
      <w:spacing w:before="40" w:after="0"/>
      <w:outlineLvl w:val="4"/>
    </w:pPr>
    <w:rPr>
      <w:rFonts w:eastAsiaTheme="majorEastAsia" w:cstheme="majorBidi"/>
      <w:b/>
      <w:sz w:val="22"/>
    </w:rPr>
  </w:style>
  <w:style w:type="paragraph" w:styleId="Kop6">
    <w:name w:val="heading 6"/>
    <w:aliases w:val="Tussenkop 5"/>
    <w:basedOn w:val="Standaard"/>
    <w:next w:val="Standaard"/>
    <w:link w:val="Kop6Char"/>
    <w:uiPriority w:val="9"/>
    <w:semiHidden/>
    <w:unhideWhenUsed/>
    <w:rsid w:val="00F9371F"/>
    <w:pPr>
      <w:keepNext/>
      <w:keepLines/>
      <w:spacing w:before="40" w:after="0"/>
      <w:outlineLvl w:val="5"/>
    </w:pPr>
    <w:rPr>
      <w:rFonts w:eastAsiaTheme="majorEastAsia" w:cstheme="majorBidi"/>
      <w:b/>
      <w:sz w:val="22"/>
    </w:rPr>
  </w:style>
  <w:style w:type="paragraph" w:styleId="Kop7">
    <w:name w:val="heading 7"/>
    <w:aliases w:val="Tussenkop 6"/>
    <w:basedOn w:val="Standaard"/>
    <w:next w:val="Standaard"/>
    <w:link w:val="Kop7Char"/>
    <w:uiPriority w:val="9"/>
    <w:semiHidden/>
    <w:unhideWhenUsed/>
    <w:qFormat/>
    <w:rsid w:val="00F9371F"/>
    <w:pPr>
      <w:keepNext/>
      <w:keepLines/>
      <w:spacing w:before="40" w:after="0"/>
      <w:outlineLvl w:val="6"/>
    </w:pPr>
    <w:rPr>
      <w:rFonts w:eastAsiaTheme="majorEastAsia" w:cstheme="majorBidi"/>
      <w:b/>
      <w:iCs/>
      <w:sz w:val="22"/>
    </w:rPr>
  </w:style>
  <w:style w:type="paragraph" w:styleId="Kop8">
    <w:name w:val="heading 8"/>
    <w:aliases w:val="Tussenkop 7"/>
    <w:basedOn w:val="Standaard"/>
    <w:next w:val="Standaard"/>
    <w:link w:val="Kop8Char"/>
    <w:uiPriority w:val="9"/>
    <w:semiHidden/>
    <w:unhideWhenUsed/>
    <w:qFormat/>
    <w:rsid w:val="00F9371F"/>
    <w:pPr>
      <w:keepNext/>
      <w:keepLines/>
      <w:spacing w:before="40" w:after="0"/>
      <w:outlineLvl w:val="7"/>
    </w:pPr>
    <w:rPr>
      <w:rFonts w:eastAsiaTheme="majorEastAsia" w:cstheme="majorBidi"/>
      <w:b/>
      <w:sz w:val="22"/>
      <w:szCs w:val="21"/>
    </w:rPr>
  </w:style>
  <w:style w:type="paragraph" w:styleId="Kop9">
    <w:name w:val="heading 9"/>
    <w:aliases w:val="Tussenkop 8"/>
    <w:basedOn w:val="Standaard"/>
    <w:next w:val="Standaard"/>
    <w:link w:val="Kop9Char"/>
    <w:uiPriority w:val="9"/>
    <w:semiHidden/>
    <w:unhideWhenUsed/>
    <w:qFormat/>
    <w:rsid w:val="00F9371F"/>
    <w:pPr>
      <w:keepNext/>
      <w:keepLines/>
      <w:spacing w:before="40" w:after="0"/>
      <w:outlineLvl w:val="8"/>
    </w:pPr>
    <w:rPr>
      <w:rFonts w:eastAsiaTheme="majorEastAsia" w:cstheme="majorBidi"/>
      <w:b/>
      <w:iCs/>
      <w:sz w:val="22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aliases w:val="Kopregel Char"/>
    <w:basedOn w:val="Standaardalinea-lettertype"/>
    <w:link w:val="Kop1"/>
    <w:uiPriority w:val="9"/>
    <w:rsid w:val="006F26F1"/>
    <w:rPr>
      <w:rFonts w:ascii="Oranda BT" w:eastAsiaTheme="majorEastAsia" w:hAnsi="Oranda BT" w:cstheme="majorBidi"/>
      <w:b/>
      <w:color w:val="A90A2E"/>
      <w:sz w:val="48"/>
      <w:szCs w:val="32"/>
    </w:rPr>
  </w:style>
  <w:style w:type="character" w:customStyle="1" w:styleId="Kop2Char">
    <w:name w:val="Kop 2 Char"/>
    <w:aliases w:val="Tussenkop 1 Char"/>
    <w:basedOn w:val="Standaardalinea-lettertype"/>
    <w:link w:val="Kop2"/>
    <w:uiPriority w:val="9"/>
    <w:rsid w:val="006F26F1"/>
    <w:rPr>
      <w:rFonts w:ascii="Oranda BT" w:eastAsiaTheme="majorEastAsia" w:hAnsi="Oranda BT" w:cstheme="majorBidi"/>
      <w:b/>
      <w:color w:val="A90A2E"/>
      <w:sz w:val="28"/>
      <w:szCs w:val="26"/>
    </w:rPr>
  </w:style>
  <w:style w:type="character" w:customStyle="1" w:styleId="Kop3Char">
    <w:name w:val="Kop 3 Char"/>
    <w:aliases w:val="Tussenkop 2 Char"/>
    <w:basedOn w:val="Standaardalinea-lettertype"/>
    <w:link w:val="Kop3"/>
    <w:uiPriority w:val="9"/>
    <w:rsid w:val="00F9371F"/>
    <w:rPr>
      <w:rFonts w:ascii="Source Sans Pro" w:eastAsiaTheme="majorEastAsia" w:hAnsi="Source Sans Pro" w:cstheme="majorBidi"/>
      <w:b/>
      <w:sz w:val="22"/>
      <w:szCs w:val="24"/>
    </w:rPr>
  </w:style>
  <w:style w:type="character" w:customStyle="1" w:styleId="Kop4Char">
    <w:name w:val="Kop 4 Char"/>
    <w:aliases w:val="Tussenkop 3 Char"/>
    <w:basedOn w:val="Standaardalinea-lettertype"/>
    <w:link w:val="Kop4"/>
    <w:uiPriority w:val="9"/>
    <w:rsid w:val="00F9371F"/>
    <w:rPr>
      <w:rFonts w:ascii="Source Sans Pro" w:eastAsiaTheme="majorEastAsia" w:hAnsi="Source Sans Pro" w:cstheme="majorBidi"/>
      <w:b/>
      <w:iCs/>
      <w:sz w:val="22"/>
    </w:rPr>
  </w:style>
  <w:style w:type="character" w:customStyle="1" w:styleId="Kop5Char">
    <w:name w:val="Kop 5 Char"/>
    <w:aliases w:val="Tussenkop 4 Char"/>
    <w:basedOn w:val="Standaardalinea-lettertype"/>
    <w:link w:val="Kop5"/>
    <w:uiPriority w:val="9"/>
    <w:rsid w:val="00F9371F"/>
    <w:rPr>
      <w:rFonts w:ascii="Source Sans Pro" w:eastAsiaTheme="majorEastAsia" w:hAnsi="Source Sans Pro" w:cstheme="majorBidi"/>
      <w:b/>
      <w:sz w:val="22"/>
    </w:rPr>
  </w:style>
  <w:style w:type="character" w:customStyle="1" w:styleId="Kop6Char">
    <w:name w:val="Kop 6 Char"/>
    <w:aliases w:val="Tussenkop 5 Char"/>
    <w:basedOn w:val="Standaardalinea-lettertype"/>
    <w:link w:val="Kop6"/>
    <w:uiPriority w:val="9"/>
    <w:semiHidden/>
    <w:rsid w:val="00F9371F"/>
    <w:rPr>
      <w:rFonts w:ascii="Source Sans Pro" w:eastAsiaTheme="majorEastAsia" w:hAnsi="Source Sans Pro" w:cstheme="majorBidi"/>
      <w:b/>
      <w:sz w:val="22"/>
    </w:rPr>
  </w:style>
  <w:style w:type="character" w:customStyle="1" w:styleId="Kop7Char">
    <w:name w:val="Kop 7 Char"/>
    <w:aliases w:val="Tussenkop 6 Char"/>
    <w:basedOn w:val="Standaardalinea-lettertype"/>
    <w:link w:val="Kop7"/>
    <w:uiPriority w:val="9"/>
    <w:semiHidden/>
    <w:rsid w:val="00F9371F"/>
    <w:rPr>
      <w:rFonts w:ascii="Source Sans Pro" w:eastAsiaTheme="majorEastAsia" w:hAnsi="Source Sans Pro" w:cstheme="majorBidi"/>
      <w:b/>
      <w:iCs/>
      <w:sz w:val="22"/>
    </w:rPr>
  </w:style>
  <w:style w:type="character" w:customStyle="1" w:styleId="Kop8Char">
    <w:name w:val="Kop 8 Char"/>
    <w:aliases w:val="Tussenkop 7 Char"/>
    <w:basedOn w:val="Standaardalinea-lettertype"/>
    <w:link w:val="Kop8"/>
    <w:uiPriority w:val="9"/>
    <w:semiHidden/>
    <w:rsid w:val="00F9371F"/>
    <w:rPr>
      <w:rFonts w:ascii="Source Sans Pro" w:eastAsiaTheme="majorEastAsia" w:hAnsi="Source Sans Pro" w:cstheme="majorBidi"/>
      <w:b/>
      <w:sz w:val="22"/>
      <w:szCs w:val="21"/>
    </w:rPr>
  </w:style>
  <w:style w:type="character" w:customStyle="1" w:styleId="Kop9Char">
    <w:name w:val="Kop 9 Char"/>
    <w:aliases w:val="Tussenkop 8 Char"/>
    <w:basedOn w:val="Standaardalinea-lettertype"/>
    <w:link w:val="Kop9"/>
    <w:uiPriority w:val="9"/>
    <w:semiHidden/>
    <w:rsid w:val="00F9371F"/>
    <w:rPr>
      <w:rFonts w:ascii="Source Sans Pro" w:eastAsiaTheme="majorEastAsia" w:hAnsi="Source Sans Pro" w:cstheme="majorBidi"/>
      <w:b/>
      <w:iCs/>
      <w:sz w:val="22"/>
      <w:szCs w:val="21"/>
    </w:rPr>
  </w:style>
  <w:style w:type="paragraph" w:styleId="Titel">
    <w:name w:val="Title"/>
    <w:basedOn w:val="Standaard"/>
    <w:next w:val="Standaard"/>
    <w:link w:val="TitelChar"/>
    <w:uiPriority w:val="10"/>
    <w:qFormat/>
    <w:rsid w:val="006F26F1"/>
    <w:pPr>
      <w:spacing w:after="0" w:line="240" w:lineRule="auto"/>
      <w:contextualSpacing/>
    </w:pPr>
    <w:rPr>
      <w:rFonts w:ascii="Oranda BT" w:eastAsiaTheme="majorEastAsia" w:hAnsi="Oranda BT" w:cstheme="majorBidi"/>
      <w:b/>
      <w:color w:val="A90A2E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6F26F1"/>
    <w:rPr>
      <w:rFonts w:ascii="Oranda BT" w:eastAsiaTheme="majorEastAsia" w:hAnsi="Oranda BT" w:cstheme="majorBidi"/>
      <w:b/>
      <w:color w:val="A90A2E"/>
      <w:spacing w:val="-10"/>
      <w:kern w:val="28"/>
      <w:sz w:val="56"/>
      <w:szCs w:val="56"/>
    </w:rPr>
  </w:style>
  <w:style w:type="paragraph" w:styleId="Ondertitel">
    <w:name w:val="Subtitle"/>
    <w:aliases w:val="Lead of Intro"/>
    <w:basedOn w:val="Standaard"/>
    <w:next w:val="Standaard"/>
    <w:link w:val="OndertitelChar"/>
    <w:uiPriority w:val="11"/>
    <w:qFormat/>
    <w:rsid w:val="00F9371F"/>
    <w:pPr>
      <w:numPr>
        <w:ilvl w:val="1"/>
      </w:numPr>
    </w:pPr>
    <w:rPr>
      <w:rFonts w:eastAsiaTheme="minorEastAsia"/>
      <w:b/>
      <w:spacing w:val="15"/>
      <w:sz w:val="22"/>
    </w:rPr>
  </w:style>
  <w:style w:type="character" w:customStyle="1" w:styleId="OndertitelChar">
    <w:name w:val="Ondertitel Char"/>
    <w:aliases w:val="Lead of Intro Char"/>
    <w:basedOn w:val="Standaardalinea-lettertype"/>
    <w:link w:val="Ondertitel"/>
    <w:uiPriority w:val="11"/>
    <w:rsid w:val="00F9371F"/>
    <w:rPr>
      <w:rFonts w:ascii="Source Sans Pro" w:eastAsiaTheme="minorEastAsia" w:hAnsi="Source Sans Pro"/>
      <w:b/>
      <w:spacing w:val="15"/>
      <w:sz w:val="22"/>
    </w:rPr>
  </w:style>
  <w:style w:type="character" w:styleId="Zwaar">
    <w:name w:val="Strong"/>
    <w:basedOn w:val="Standaardalinea-lettertype"/>
    <w:uiPriority w:val="22"/>
    <w:qFormat/>
    <w:rsid w:val="00593D3B"/>
    <w:rPr>
      <w:b/>
      <w:bCs/>
    </w:rPr>
  </w:style>
  <w:style w:type="table" w:styleId="Tabelraster">
    <w:name w:val="Table Grid"/>
    <w:basedOn w:val="Standaardtabel"/>
    <w:uiPriority w:val="39"/>
    <w:rsid w:val="00593D3B"/>
    <w:pPr>
      <w:spacing w:after="0" w:line="240" w:lineRule="auto"/>
    </w:pPr>
    <w:rPr>
      <w:rFonts w:ascii="Source Sans Pro" w:hAnsi="Source Sans P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493352"/>
    <w:pPr>
      <w:spacing w:before="360" w:after="360"/>
      <w:ind w:left="864" w:right="864"/>
      <w:jc w:val="center"/>
    </w:pPr>
    <w:rPr>
      <w:i/>
      <w:iCs/>
      <w:color w:val="A90A2E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493352"/>
    <w:rPr>
      <w:rFonts w:ascii="Source Sans Pro" w:hAnsi="Source Sans Pro"/>
      <w:i/>
      <w:iCs/>
      <w:color w:val="A90A2E"/>
    </w:rPr>
  </w:style>
  <w:style w:type="character" w:styleId="Intensievebenadrukking">
    <w:name w:val="Intense Emphasis"/>
    <w:basedOn w:val="Standaardalinea-lettertype"/>
    <w:uiPriority w:val="21"/>
    <w:qFormat/>
    <w:rsid w:val="00D6079D"/>
    <w:rPr>
      <w:i/>
      <w:iCs/>
      <w:color w:val="A90A2E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6E35D8"/>
    <w:pPr>
      <w:outlineLvl w:val="9"/>
    </w:pPr>
  </w:style>
  <w:style w:type="table" w:customStyle="1" w:styleId="Tabelrasterlicht1">
    <w:name w:val="Tabelraster licht1"/>
    <w:basedOn w:val="Standaardtabel"/>
    <w:uiPriority w:val="40"/>
    <w:rsid w:val="00593D3B"/>
    <w:pPr>
      <w:spacing w:after="0" w:line="240" w:lineRule="auto"/>
    </w:pPr>
    <w:rPr>
      <w:rFonts w:ascii="Source Sans Pro" w:hAnsi="Source Sans Pro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Geenafstand">
    <w:name w:val="No Spacing"/>
    <w:uiPriority w:val="1"/>
    <w:qFormat/>
    <w:rsid w:val="00B34E38"/>
    <w:pPr>
      <w:spacing w:after="300" w:line="240" w:lineRule="auto"/>
    </w:pPr>
    <w:rPr>
      <w:rFonts w:ascii="Source Sans Pro" w:hAnsi="Source Sans Pro"/>
    </w:rPr>
  </w:style>
  <w:style w:type="character" w:styleId="Subtielebenadrukking">
    <w:name w:val="Subtle Emphasis"/>
    <w:basedOn w:val="Standaardalinea-lettertype"/>
    <w:uiPriority w:val="19"/>
    <w:qFormat/>
    <w:rsid w:val="006E35D8"/>
    <w:rPr>
      <w:i/>
      <w:iCs/>
      <w:color w:val="404040" w:themeColor="text1" w:themeTint="BF"/>
    </w:rPr>
  </w:style>
  <w:style w:type="paragraph" w:styleId="Citaat">
    <w:name w:val="Quote"/>
    <w:basedOn w:val="Standaard"/>
    <w:next w:val="Standaard"/>
    <w:link w:val="CitaatChar"/>
    <w:uiPriority w:val="29"/>
    <w:qFormat/>
    <w:rsid w:val="00D6079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styleId="Intensieveverwijzing">
    <w:name w:val="Intense Reference"/>
    <w:basedOn w:val="Standaardalinea-lettertype"/>
    <w:uiPriority w:val="32"/>
    <w:qFormat/>
    <w:rsid w:val="006E35D8"/>
    <w:rPr>
      <w:b/>
      <w:bCs/>
      <w:smallCaps/>
      <w:color w:val="A90A2E"/>
      <w:spacing w:val="5"/>
    </w:rPr>
  </w:style>
  <w:style w:type="character" w:customStyle="1" w:styleId="CitaatChar">
    <w:name w:val="Citaat Char"/>
    <w:basedOn w:val="Standaardalinea-lettertype"/>
    <w:link w:val="Citaat"/>
    <w:uiPriority w:val="29"/>
    <w:rsid w:val="00D6079D"/>
    <w:rPr>
      <w:rFonts w:ascii="Source Sans Pro" w:hAnsi="Source Sans Pro"/>
      <w:i/>
      <w:iCs/>
      <w:color w:val="404040" w:themeColor="text1" w:themeTint="BF"/>
    </w:rPr>
  </w:style>
  <w:style w:type="paragraph" w:styleId="Lijstalinea">
    <w:name w:val="List Paragraph"/>
    <w:basedOn w:val="Standaard"/>
    <w:uiPriority w:val="34"/>
    <w:qFormat/>
    <w:rsid w:val="00CA7A2E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4D47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D4792"/>
    <w:rPr>
      <w:rFonts w:ascii="Source Sans Pro" w:hAnsi="Source Sans Pro"/>
    </w:rPr>
  </w:style>
  <w:style w:type="paragraph" w:styleId="Voettekst">
    <w:name w:val="footer"/>
    <w:basedOn w:val="Standaard"/>
    <w:link w:val="VoettekstChar"/>
    <w:uiPriority w:val="99"/>
    <w:unhideWhenUsed/>
    <w:rsid w:val="004D47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D4792"/>
    <w:rPr>
      <w:rFonts w:ascii="Source Sans Pro" w:hAnsi="Source Sans Pro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15492D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5492D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5492D"/>
    <w:rPr>
      <w:rFonts w:ascii="Source Sans Pro" w:hAnsi="Source Sans Pro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5492D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5492D"/>
    <w:rPr>
      <w:rFonts w:ascii="Source Sans Pro" w:hAnsi="Source Sans Pro"/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549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549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5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Kantoorthema">
  <a:themeElements>
    <a:clrScheme name="Huisstijl Nijmegen">
      <a:dk1>
        <a:sysClr val="windowText" lastClr="000000"/>
      </a:dk1>
      <a:lt1>
        <a:sysClr val="window" lastClr="FFFFFF"/>
      </a:lt1>
      <a:dk2>
        <a:srgbClr val="C76667"/>
      </a:dk2>
      <a:lt2>
        <a:srgbClr val="A90A2E"/>
      </a:lt2>
      <a:accent1>
        <a:srgbClr val="DCA09B"/>
      </a:accent1>
      <a:accent2>
        <a:srgbClr val="03A9F4"/>
      </a:accent2>
      <a:accent3>
        <a:srgbClr val="B0D0EF"/>
      </a:accent3>
      <a:accent4>
        <a:srgbClr val="F57C00"/>
      </a:accent4>
      <a:accent5>
        <a:srgbClr val="F8B472"/>
      </a:accent5>
      <a:accent6>
        <a:srgbClr val="9E9D24"/>
      </a:accent6>
      <a:hlink>
        <a:srgbClr val="61B5A5"/>
      </a:hlink>
      <a:folHlink>
        <a:srgbClr val="B8DAD4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7CEEE-DBF2-418B-9878-E669F100D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971</Words>
  <Characters>5342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Nijmegen</Company>
  <LinksUpToDate>false</LinksUpToDate>
  <CharactersWithSpaces>6301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kleii0</dc:creator>
  <cp:lastModifiedBy>Iris Kleine Schaars</cp:lastModifiedBy>
  <cp:revision>7</cp:revision>
  <cp:lastPrinted>2019-05-14T12:45:00Z</cp:lastPrinted>
  <dcterms:created xsi:type="dcterms:W3CDTF">2020-12-23T18:48:00Z</dcterms:created>
  <dcterms:modified xsi:type="dcterms:W3CDTF">2021-01-08T14:58:00Z</dcterms:modified>
</cp:coreProperties>
</file>